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3686" w14:textId="77777777" w:rsidR="00A11840" w:rsidRPr="001F0456" w:rsidRDefault="00273E80">
      <w:pPr>
        <w:pStyle w:val="Body"/>
        <w:jc w:val="center"/>
        <w:rPr>
          <w:rFonts w:ascii="Frutiger 45 Light" w:eastAsia="Arial" w:hAnsi="Frutiger 45 Light" w:cs="Arial"/>
          <w:b/>
          <w:bCs/>
          <w:sz w:val="28"/>
          <w:szCs w:val="28"/>
        </w:rPr>
      </w:pPr>
      <w:r w:rsidRPr="001F0456">
        <w:rPr>
          <w:rFonts w:ascii="Frutiger 45 Light" w:hAnsi="Frutiger 45 Light"/>
          <w:b/>
          <w:bCs/>
          <w:sz w:val="28"/>
          <w:szCs w:val="28"/>
        </w:rPr>
        <w:t>Summary of the One Big Beautiful Bill Act</w:t>
      </w:r>
    </w:p>
    <w:p w14:paraId="2932578C" w14:textId="77777777" w:rsidR="00A11840" w:rsidRDefault="00A11840">
      <w:pPr>
        <w:pStyle w:val="Body"/>
        <w:rPr>
          <w:rFonts w:ascii="Arial" w:eastAsia="Arial" w:hAnsi="Arial" w:cs="Arial"/>
        </w:rPr>
      </w:pPr>
    </w:p>
    <w:p w14:paraId="0B55576D" w14:textId="5BDE5A99" w:rsidR="00A11840" w:rsidRPr="001F0456" w:rsidRDefault="00273E80">
      <w:pPr>
        <w:pStyle w:val="Body"/>
        <w:rPr>
          <w:rFonts w:ascii="Verdana" w:hAnsi="Verdana"/>
          <w:sz w:val="22"/>
          <w:szCs w:val="22"/>
        </w:rPr>
      </w:pPr>
      <w:r w:rsidRPr="001F0456">
        <w:rPr>
          <w:rFonts w:ascii="Verdana" w:hAnsi="Verdana"/>
          <w:sz w:val="22"/>
          <w:szCs w:val="22"/>
        </w:rPr>
        <w:t xml:space="preserve">The top priority of the Trump </w:t>
      </w:r>
      <w:r w:rsidR="009B757A" w:rsidRPr="001F0456">
        <w:rPr>
          <w:rFonts w:ascii="Verdana" w:hAnsi="Verdana"/>
          <w:sz w:val="22"/>
          <w:szCs w:val="22"/>
        </w:rPr>
        <w:t>a</w:t>
      </w:r>
      <w:r w:rsidRPr="001F0456">
        <w:rPr>
          <w:rFonts w:ascii="Verdana" w:hAnsi="Verdana"/>
          <w:sz w:val="22"/>
          <w:szCs w:val="22"/>
        </w:rPr>
        <w:t>dministration, the One Big Beautiful Bill Act</w:t>
      </w:r>
      <w:r w:rsidR="009B757A" w:rsidRPr="001F0456">
        <w:rPr>
          <w:rFonts w:ascii="Verdana" w:hAnsi="Verdana"/>
          <w:sz w:val="22"/>
          <w:szCs w:val="22"/>
        </w:rPr>
        <w:t>,</w:t>
      </w:r>
      <w:r w:rsidRPr="001F0456">
        <w:rPr>
          <w:rFonts w:ascii="Verdana" w:hAnsi="Verdana"/>
          <w:sz w:val="22"/>
          <w:szCs w:val="22"/>
        </w:rPr>
        <w:t xml:space="preserve"> was signed into law on July 4. This new law will initiate the largest transfer of wealth from working-class </w:t>
      </w:r>
      <w:r w:rsidR="009B757A" w:rsidRPr="001F0456">
        <w:rPr>
          <w:rFonts w:ascii="Verdana" w:hAnsi="Verdana"/>
          <w:sz w:val="22"/>
          <w:szCs w:val="22"/>
        </w:rPr>
        <w:t xml:space="preserve">people </w:t>
      </w:r>
      <w:r w:rsidRPr="001F0456">
        <w:rPr>
          <w:rFonts w:ascii="Verdana" w:hAnsi="Verdana"/>
          <w:sz w:val="22"/>
          <w:szCs w:val="22"/>
        </w:rPr>
        <w:t>to the ultra</w:t>
      </w:r>
      <w:r w:rsidR="009B757A" w:rsidRPr="001F0456">
        <w:rPr>
          <w:rFonts w:ascii="Verdana" w:hAnsi="Verdana"/>
          <w:sz w:val="22"/>
          <w:szCs w:val="22"/>
        </w:rPr>
        <w:t>-</w:t>
      </w:r>
      <w:r w:rsidRPr="001F0456">
        <w:rPr>
          <w:rFonts w:ascii="Verdana" w:hAnsi="Verdana"/>
          <w:sz w:val="22"/>
          <w:szCs w:val="22"/>
        </w:rPr>
        <w:t xml:space="preserve">wealthy in </w:t>
      </w:r>
      <w:r w:rsidR="00364935" w:rsidRPr="001F0456">
        <w:rPr>
          <w:rFonts w:ascii="Verdana" w:hAnsi="Verdana"/>
          <w:sz w:val="22"/>
          <w:szCs w:val="22"/>
        </w:rPr>
        <w:t>American history</w:t>
      </w:r>
      <w:r w:rsidRPr="001F0456">
        <w:rPr>
          <w:rFonts w:ascii="Verdana" w:hAnsi="Verdana"/>
          <w:sz w:val="22"/>
          <w:szCs w:val="22"/>
        </w:rPr>
        <w:t>. And as Project 2025 envisioned, its intent is to undermine</w:t>
      </w:r>
      <w:r w:rsidR="009B757A" w:rsidRPr="001F0456">
        <w:rPr>
          <w:rFonts w:ascii="Verdana" w:hAnsi="Verdana"/>
          <w:sz w:val="22"/>
          <w:szCs w:val="22"/>
        </w:rPr>
        <w:t>—</w:t>
      </w:r>
      <w:r w:rsidRPr="001F0456">
        <w:rPr>
          <w:rFonts w:ascii="Verdana" w:hAnsi="Verdana"/>
          <w:sz w:val="22"/>
          <w:szCs w:val="22"/>
        </w:rPr>
        <w:t xml:space="preserve">if not </w:t>
      </w:r>
      <w:r w:rsidR="004C0AA3" w:rsidRPr="001F0456">
        <w:rPr>
          <w:rFonts w:ascii="Verdana" w:hAnsi="Verdana"/>
          <w:sz w:val="22"/>
          <w:szCs w:val="22"/>
        </w:rPr>
        <w:t>abandon</w:t>
      </w:r>
      <w:r w:rsidR="009B757A" w:rsidRPr="001F0456">
        <w:rPr>
          <w:rFonts w:ascii="Verdana" w:hAnsi="Verdana"/>
          <w:sz w:val="22"/>
          <w:szCs w:val="22"/>
        </w:rPr>
        <w:t xml:space="preserve">—programs </w:t>
      </w:r>
      <w:r w:rsidRPr="001F0456">
        <w:rPr>
          <w:rFonts w:ascii="Verdana" w:hAnsi="Verdana"/>
          <w:sz w:val="22"/>
          <w:szCs w:val="22"/>
        </w:rPr>
        <w:t>that help Americans</w:t>
      </w:r>
      <w:r w:rsidR="009B757A" w:rsidRPr="001F0456">
        <w:rPr>
          <w:rFonts w:ascii="Verdana" w:hAnsi="Verdana"/>
          <w:sz w:val="22"/>
          <w:szCs w:val="22"/>
        </w:rPr>
        <w:t>:</w:t>
      </w:r>
      <w:r w:rsidRPr="001F0456">
        <w:rPr>
          <w:rFonts w:ascii="Verdana" w:hAnsi="Verdana"/>
          <w:sz w:val="22"/>
          <w:szCs w:val="22"/>
        </w:rPr>
        <w:t xml:space="preserve"> public schools and higher </w:t>
      </w:r>
      <w:r w:rsidR="000E2A9B" w:rsidRPr="001F0456">
        <w:rPr>
          <w:rFonts w:ascii="Verdana" w:hAnsi="Verdana"/>
          <w:sz w:val="22"/>
          <w:szCs w:val="22"/>
        </w:rPr>
        <w:t>education, food</w:t>
      </w:r>
      <w:r w:rsidRPr="001F0456">
        <w:rPr>
          <w:rFonts w:ascii="Verdana" w:hAnsi="Verdana"/>
          <w:sz w:val="22"/>
          <w:szCs w:val="22"/>
        </w:rPr>
        <w:t xml:space="preserve"> </w:t>
      </w:r>
      <w:r w:rsidR="00364935" w:rsidRPr="001F0456">
        <w:rPr>
          <w:rFonts w:ascii="Verdana" w:hAnsi="Verdana"/>
          <w:sz w:val="22"/>
          <w:szCs w:val="22"/>
        </w:rPr>
        <w:t>services,</w:t>
      </w:r>
      <w:r w:rsidRPr="001F0456">
        <w:rPr>
          <w:rFonts w:ascii="Verdana" w:hAnsi="Verdana"/>
          <w:sz w:val="22"/>
          <w:szCs w:val="22"/>
        </w:rPr>
        <w:t xml:space="preserve"> healthcare and social service</w:t>
      </w:r>
      <w:r w:rsidR="009B757A" w:rsidRPr="001F0456">
        <w:rPr>
          <w:rFonts w:ascii="Verdana" w:hAnsi="Verdana"/>
          <w:sz w:val="22"/>
          <w:szCs w:val="22"/>
        </w:rPr>
        <w:t>s</w:t>
      </w:r>
      <w:r w:rsidRPr="001F0456">
        <w:rPr>
          <w:rFonts w:ascii="Verdana" w:hAnsi="Verdana"/>
          <w:sz w:val="22"/>
          <w:szCs w:val="22"/>
        </w:rPr>
        <w:t>.</w:t>
      </w:r>
    </w:p>
    <w:p w14:paraId="6407A199" w14:textId="77777777" w:rsidR="00A11840" w:rsidRPr="001F0456" w:rsidRDefault="00A11840">
      <w:pPr>
        <w:pStyle w:val="Body"/>
        <w:rPr>
          <w:rFonts w:ascii="Verdana" w:eastAsia="Arial" w:hAnsi="Verdana" w:cs="Arial"/>
          <w:sz w:val="22"/>
          <w:szCs w:val="22"/>
        </w:rPr>
      </w:pPr>
    </w:p>
    <w:p w14:paraId="13CF62D8" w14:textId="365F5966" w:rsidR="00A11840" w:rsidRPr="001F0456" w:rsidRDefault="00273E80">
      <w:pPr>
        <w:pStyle w:val="Body"/>
        <w:rPr>
          <w:rFonts w:ascii="Verdana" w:eastAsia="Arial" w:hAnsi="Verdana" w:cs="Arial"/>
          <w:sz w:val="22"/>
          <w:szCs w:val="22"/>
        </w:rPr>
      </w:pPr>
      <w:r w:rsidRPr="001F0456">
        <w:rPr>
          <w:rFonts w:ascii="Verdana" w:hAnsi="Verdana"/>
          <w:sz w:val="22"/>
          <w:szCs w:val="22"/>
        </w:rPr>
        <w:t>By providing a $4.5 trillion tax cut over the next decade, $450 billion in new spending</w:t>
      </w:r>
      <w:r w:rsidR="009B757A" w:rsidRPr="001F0456">
        <w:rPr>
          <w:rFonts w:ascii="Verdana" w:hAnsi="Verdana"/>
          <w:sz w:val="22"/>
          <w:szCs w:val="22"/>
        </w:rPr>
        <w:t>,</w:t>
      </w:r>
      <w:r w:rsidRPr="001F0456">
        <w:rPr>
          <w:rFonts w:ascii="Verdana" w:hAnsi="Verdana"/>
          <w:sz w:val="22"/>
          <w:szCs w:val="22"/>
        </w:rPr>
        <w:t xml:space="preserve"> and spending cuts totaling $1.7 trillion, the law could</w:t>
      </w:r>
      <w:r w:rsidR="00002BD5" w:rsidRPr="001F0456">
        <w:rPr>
          <w:rFonts w:ascii="Verdana" w:hAnsi="Verdana"/>
          <w:sz w:val="22"/>
          <w:szCs w:val="22"/>
        </w:rPr>
        <w:t xml:space="preserve"> </w:t>
      </w:r>
      <w:r w:rsidRPr="001F0456">
        <w:rPr>
          <w:rFonts w:ascii="Verdana" w:hAnsi="Verdana"/>
          <w:sz w:val="22"/>
          <w:szCs w:val="22"/>
        </w:rPr>
        <w:t xml:space="preserve">increase the debt by $3.4 trillion by 2034. According to </w:t>
      </w:r>
      <w:hyperlink r:id="rId10" w:history="1">
        <w:r w:rsidR="00A11840" w:rsidRPr="001F0456">
          <w:rPr>
            <w:rStyle w:val="Hyperlink0"/>
            <w:rFonts w:ascii="Verdana" w:hAnsi="Verdana"/>
            <w:sz w:val="22"/>
            <w:szCs w:val="22"/>
          </w:rPr>
          <w:t>estimates</w:t>
        </w:r>
      </w:hyperlink>
      <w:r w:rsidRPr="001F0456">
        <w:rPr>
          <w:rFonts w:ascii="Verdana" w:hAnsi="Verdana"/>
          <w:sz w:val="22"/>
          <w:szCs w:val="22"/>
        </w:rPr>
        <w:t xml:space="preserve"> from the Congressional Budget Office, if Congress does not take pre</w:t>
      </w:r>
      <w:r w:rsidR="009B757A" w:rsidRPr="001F0456">
        <w:rPr>
          <w:rFonts w:ascii="Verdana" w:hAnsi="Verdana"/>
          <w:sz w:val="22"/>
          <w:szCs w:val="22"/>
        </w:rPr>
        <w:t>-</w:t>
      </w:r>
      <w:r w:rsidRPr="001F0456">
        <w:rPr>
          <w:rFonts w:ascii="Verdana" w:hAnsi="Verdana"/>
          <w:sz w:val="22"/>
          <w:szCs w:val="22"/>
        </w:rPr>
        <w:t>emptive action</w:t>
      </w:r>
      <w:r w:rsidR="009B757A" w:rsidRPr="001F0456">
        <w:rPr>
          <w:rFonts w:ascii="Verdana" w:hAnsi="Verdana"/>
          <w:sz w:val="22"/>
          <w:szCs w:val="22"/>
        </w:rPr>
        <w:t>,</w:t>
      </w:r>
      <w:r w:rsidRPr="001F0456">
        <w:rPr>
          <w:rFonts w:ascii="Verdana" w:hAnsi="Verdana"/>
          <w:sz w:val="22"/>
          <w:szCs w:val="22"/>
        </w:rPr>
        <w:t xml:space="preserve"> this debt will trigger $23 billion per year in annual across</w:t>
      </w:r>
      <w:r w:rsidR="009B757A" w:rsidRPr="001F0456">
        <w:rPr>
          <w:rFonts w:ascii="Verdana" w:hAnsi="Verdana"/>
          <w:sz w:val="22"/>
          <w:szCs w:val="22"/>
        </w:rPr>
        <w:t>-</w:t>
      </w:r>
      <w:r w:rsidRPr="001F0456">
        <w:rPr>
          <w:rFonts w:ascii="Verdana" w:hAnsi="Verdana"/>
          <w:sz w:val="22"/>
          <w:szCs w:val="22"/>
        </w:rPr>
        <w:t>the</w:t>
      </w:r>
      <w:r w:rsidR="009B757A" w:rsidRPr="001F0456">
        <w:rPr>
          <w:rFonts w:ascii="Verdana" w:hAnsi="Verdana"/>
          <w:sz w:val="22"/>
          <w:szCs w:val="22"/>
        </w:rPr>
        <w:t>-</w:t>
      </w:r>
      <w:r w:rsidRPr="001F0456">
        <w:rPr>
          <w:rFonts w:ascii="Verdana" w:hAnsi="Verdana"/>
          <w:sz w:val="22"/>
          <w:szCs w:val="22"/>
        </w:rPr>
        <w:t>board spending cuts.</w:t>
      </w:r>
    </w:p>
    <w:p w14:paraId="160FC067" w14:textId="77777777" w:rsidR="00A11840" w:rsidRPr="001F0456" w:rsidRDefault="00A11840">
      <w:pPr>
        <w:pStyle w:val="Body"/>
        <w:rPr>
          <w:rFonts w:ascii="Verdana" w:eastAsia="Arial" w:hAnsi="Verdana" w:cs="Arial"/>
          <w:sz w:val="22"/>
          <w:szCs w:val="22"/>
        </w:rPr>
      </w:pPr>
    </w:p>
    <w:p w14:paraId="7554F147" w14:textId="696079AE" w:rsidR="00A11840" w:rsidRPr="001F0456" w:rsidRDefault="00273E80">
      <w:pPr>
        <w:pStyle w:val="Body"/>
        <w:rPr>
          <w:rFonts w:ascii="Verdana" w:eastAsia="Arial" w:hAnsi="Verdana" w:cs="Arial"/>
          <w:sz w:val="22"/>
          <w:szCs w:val="22"/>
        </w:rPr>
      </w:pPr>
      <w:r w:rsidRPr="001F0456">
        <w:rPr>
          <w:rFonts w:ascii="Verdana" w:hAnsi="Verdana"/>
          <w:sz w:val="22"/>
          <w:szCs w:val="22"/>
        </w:rPr>
        <w:t>Using the budget reconciliation process to circumvent traditional filibuster requirements, the 870</w:t>
      </w:r>
      <w:r w:rsidR="009B757A" w:rsidRPr="001F0456">
        <w:rPr>
          <w:rFonts w:ascii="Verdana" w:hAnsi="Verdana"/>
          <w:sz w:val="22"/>
          <w:szCs w:val="22"/>
        </w:rPr>
        <w:t>-plus</w:t>
      </w:r>
      <w:r w:rsidR="004C32A1" w:rsidRPr="001F0456">
        <w:rPr>
          <w:rFonts w:ascii="Verdana" w:hAnsi="Verdana"/>
          <w:sz w:val="22"/>
          <w:szCs w:val="22"/>
        </w:rPr>
        <w:t>-</w:t>
      </w:r>
      <w:r w:rsidRPr="001F0456">
        <w:rPr>
          <w:rFonts w:ascii="Verdana" w:hAnsi="Verdana"/>
          <w:sz w:val="22"/>
          <w:szCs w:val="22"/>
        </w:rPr>
        <w:t xml:space="preserve">page law is </w:t>
      </w:r>
      <w:r w:rsidRPr="001F0456">
        <w:rPr>
          <w:rFonts w:ascii="Verdana" w:hAnsi="Verdana" w:cs="Arial"/>
          <w:sz w:val="22"/>
          <w:szCs w:val="22"/>
        </w:rPr>
        <w:t>unprecedente</w:t>
      </w:r>
      <w:r w:rsidR="00BC7F39" w:rsidRPr="001F0456">
        <w:rPr>
          <w:rFonts w:ascii="Verdana" w:hAnsi="Verdana" w:cs="Arial"/>
          <w:color w:val="001D35"/>
          <w:sz w:val="22"/>
          <w:szCs w:val="22"/>
          <w:shd w:val="clear" w:color="auto" w:fill="FFFFFF"/>
        </w:rPr>
        <w:t>d due to its harmful impact on social safety nets, healthcare and immigration policies, while simultaneously increasing the national debt and providing tax cuts primarily for the wealthy</w:t>
      </w:r>
      <w:r w:rsidR="006B3F95" w:rsidRPr="001F0456">
        <w:rPr>
          <w:rFonts w:ascii="Verdana" w:hAnsi="Verdana" w:cs="Arial"/>
          <w:color w:val="001D35"/>
          <w:sz w:val="22"/>
          <w:szCs w:val="22"/>
          <w:shd w:val="clear" w:color="auto" w:fill="FFFFFF"/>
        </w:rPr>
        <w:t>.</w:t>
      </w:r>
      <w:r w:rsidRPr="001F0456">
        <w:rPr>
          <w:rFonts w:ascii="Verdana" w:hAnsi="Verdana" w:cs="Arial"/>
          <w:sz w:val="22"/>
          <w:szCs w:val="22"/>
        </w:rPr>
        <w:t xml:space="preserve"> </w:t>
      </w:r>
      <w:r w:rsidRPr="001F0456">
        <w:rPr>
          <w:rFonts w:ascii="Verdana" w:hAnsi="Verdana"/>
          <w:sz w:val="22"/>
          <w:szCs w:val="22"/>
        </w:rPr>
        <w:t xml:space="preserve">President Donald Trump said he wanted Republicans in Congress to load his legislative agenda into “one big, beautiful bill.” </w:t>
      </w:r>
      <w:r w:rsidR="009B757A" w:rsidRPr="001F0456">
        <w:rPr>
          <w:rFonts w:ascii="Verdana" w:hAnsi="Verdana"/>
          <w:sz w:val="22"/>
          <w:szCs w:val="22"/>
        </w:rPr>
        <w:t xml:space="preserve">They </w:t>
      </w:r>
      <w:r w:rsidRPr="001F0456">
        <w:rPr>
          <w:rFonts w:ascii="Verdana" w:hAnsi="Verdana"/>
          <w:sz w:val="22"/>
          <w:szCs w:val="22"/>
        </w:rPr>
        <w:t>fell in line and obliged</w:t>
      </w:r>
      <w:r w:rsidR="009B757A" w:rsidRPr="001F0456">
        <w:rPr>
          <w:rFonts w:ascii="Verdana" w:hAnsi="Verdana"/>
          <w:sz w:val="22"/>
          <w:szCs w:val="22"/>
        </w:rPr>
        <w:t>,</w:t>
      </w:r>
      <w:r w:rsidRPr="001F0456">
        <w:rPr>
          <w:rFonts w:ascii="Verdana" w:hAnsi="Verdana"/>
          <w:sz w:val="22"/>
          <w:szCs w:val="22"/>
        </w:rPr>
        <w:t xml:space="preserve"> passing the Trump agenda that prioritizes:</w:t>
      </w:r>
    </w:p>
    <w:p w14:paraId="17A82EAF" w14:textId="5791C8FA" w:rsidR="00A11840" w:rsidRPr="001F0456" w:rsidRDefault="00A11840" w:rsidP="00BA29CD">
      <w:pPr>
        <w:rPr>
          <w:rFonts w:ascii="Verdana" w:hAnsi="Verdana"/>
          <w:sz w:val="22"/>
          <w:szCs w:val="22"/>
        </w:rPr>
      </w:pPr>
    </w:p>
    <w:p w14:paraId="2A13B901" w14:textId="67A8BDCF"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 xml:space="preserve">A tax cut that primarily goes to goes to the wealthy. </w:t>
      </w:r>
      <w:r w:rsidRPr="001F0456">
        <w:rPr>
          <w:rFonts w:ascii="Verdana" w:hAnsi="Verdana"/>
          <w:sz w:val="22"/>
          <w:szCs w:val="22"/>
        </w:rPr>
        <w:t>The richest 0.1</w:t>
      </w:r>
      <w:r w:rsidR="009B757A" w:rsidRPr="001F0456">
        <w:rPr>
          <w:rFonts w:ascii="Verdana" w:hAnsi="Verdana"/>
          <w:sz w:val="22"/>
          <w:szCs w:val="22"/>
        </w:rPr>
        <w:t xml:space="preserve"> percent</w:t>
      </w:r>
      <w:r w:rsidRPr="001F0456">
        <w:rPr>
          <w:rFonts w:ascii="Verdana" w:hAnsi="Verdana"/>
          <w:sz w:val="22"/>
          <w:szCs w:val="22"/>
        </w:rPr>
        <w:t xml:space="preserve"> </w:t>
      </w:r>
      <w:r w:rsidR="009B757A" w:rsidRPr="001F0456">
        <w:rPr>
          <w:rFonts w:ascii="Verdana" w:hAnsi="Verdana"/>
          <w:sz w:val="22"/>
          <w:szCs w:val="22"/>
        </w:rPr>
        <w:t xml:space="preserve">of Americans </w:t>
      </w:r>
      <w:r w:rsidRPr="001F0456">
        <w:rPr>
          <w:rFonts w:ascii="Verdana" w:hAnsi="Verdana"/>
          <w:sz w:val="22"/>
          <w:szCs w:val="22"/>
        </w:rPr>
        <w:t>would get an average tax break of over $250,000 while the poorest 20</w:t>
      </w:r>
      <w:r w:rsidR="009B757A" w:rsidRPr="001F0456">
        <w:rPr>
          <w:rFonts w:ascii="Verdana" w:hAnsi="Verdana"/>
          <w:sz w:val="22"/>
          <w:szCs w:val="22"/>
        </w:rPr>
        <w:t xml:space="preserve"> percent</w:t>
      </w:r>
      <w:r w:rsidRPr="001F0456">
        <w:rPr>
          <w:rFonts w:ascii="Verdana" w:hAnsi="Verdana"/>
          <w:sz w:val="22"/>
          <w:szCs w:val="22"/>
        </w:rPr>
        <w:t xml:space="preserve"> would see their taxes go up. We need a middle- and working-class tax cut, not a huge giveaway to the wealthy.</w:t>
      </w:r>
    </w:p>
    <w:p w14:paraId="51AD3580" w14:textId="14926ADE"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 xml:space="preserve">Cutting Medicaid and the </w:t>
      </w:r>
      <w:r w:rsidR="00031098" w:rsidRPr="001F0456">
        <w:rPr>
          <w:rFonts w:ascii="Verdana" w:hAnsi="Verdana"/>
          <w:b/>
          <w:bCs/>
          <w:sz w:val="22"/>
          <w:szCs w:val="22"/>
        </w:rPr>
        <w:t>Affordable Care Act</w:t>
      </w:r>
      <w:r w:rsidRPr="001F0456">
        <w:rPr>
          <w:rFonts w:ascii="Verdana" w:hAnsi="Verdana"/>
          <w:sz w:val="22"/>
          <w:szCs w:val="22"/>
        </w:rPr>
        <w:t xml:space="preserve"> by </w:t>
      </w:r>
      <w:r w:rsidR="00031098" w:rsidRPr="001F0456">
        <w:rPr>
          <w:rFonts w:ascii="Verdana" w:hAnsi="Verdana"/>
          <w:sz w:val="22"/>
          <w:szCs w:val="22"/>
        </w:rPr>
        <w:t>more than</w:t>
      </w:r>
      <w:r w:rsidRPr="001F0456">
        <w:rPr>
          <w:rFonts w:ascii="Verdana" w:hAnsi="Verdana"/>
          <w:sz w:val="22"/>
          <w:szCs w:val="22"/>
        </w:rPr>
        <w:t xml:space="preserve"> $1 trillion over 10 years. This will kick 13 million people off their health insurance and could raise healthcare costs for</w:t>
      </w:r>
      <w:r w:rsidR="006B3F95" w:rsidRPr="001F0456">
        <w:rPr>
          <w:rFonts w:ascii="Verdana" w:hAnsi="Verdana"/>
          <w:sz w:val="22"/>
          <w:szCs w:val="22"/>
        </w:rPr>
        <w:t xml:space="preserve"> </w:t>
      </w:r>
      <w:r w:rsidRPr="001F0456">
        <w:rPr>
          <w:rFonts w:ascii="Verdana" w:hAnsi="Verdana"/>
          <w:sz w:val="22"/>
          <w:szCs w:val="22"/>
        </w:rPr>
        <w:t>everyone</w:t>
      </w:r>
      <w:r w:rsidR="006B3F95" w:rsidRPr="001F0456">
        <w:rPr>
          <w:rFonts w:ascii="Verdana" w:hAnsi="Verdana"/>
          <w:sz w:val="22"/>
          <w:szCs w:val="22"/>
        </w:rPr>
        <w:t>.</w:t>
      </w:r>
      <w:r w:rsidR="00546361" w:rsidRPr="001F0456">
        <w:rPr>
          <w:rFonts w:ascii="Verdana" w:hAnsi="Verdana"/>
          <w:sz w:val="22"/>
          <w:szCs w:val="22"/>
        </w:rPr>
        <w:t xml:space="preserve">  </w:t>
      </w:r>
    </w:p>
    <w:p w14:paraId="7CEA5D0B" w14:textId="77777777"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Taking food assistance away</w:t>
      </w:r>
      <w:r w:rsidRPr="001F0456">
        <w:rPr>
          <w:rFonts w:ascii="Verdana" w:hAnsi="Verdana"/>
          <w:sz w:val="22"/>
          <w:szCs w:val="22"/>
        </w:rPr>
        <w:t xml:space="preserve"> from over 22 million families, raising grocery costs and increasing poverty and hunger.</w:t>
      </w:r>
    </w:p>
    <w:p w14:paraId="46005E44" w14:textId="501A7661"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Creating a permanent school voucher scheme</w:t>
      </w:r>
      <w:r w:rsidRPr="001F0456">
        <w:rPr>
          <w:rFonts w:ascii="Verdana" w:hAnsi="Verdana"/>
          <w:sz w:val="22"/>
          <w:szCs w:val="22"/>
        </w:rPr>
        <w:t xml:space="preserve"> in the tax code that redirects billions of dollars each year to private schools.</w:t>
      </w:r>
    </w:p>
    <w:p w14:paraId="172D2681" w14:textId="77777777"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Effectively eliminating some clean energy credits</w:t>
      </w:r>
      <w:r w:rsidRPr="001F0456">
        <w:rPr>
          <w:rFonts w:ascii="Verdana" w:hAnsi="Verdana"/>
          <w:sz w:val="22"/>
          <w:szCs w:val="22"/>
        </w:rPr>
        <w:t xml:space="preserve"> by phasing them out more quickly, which will raise utility bills and cost 400,000 jobs.</w:t>
      </w:r>
    </w:p>
    <w:p w14:paraId="3A2AE780" w14:textId="77777777" w:rsidR="00A11840" w:rsidRPr="001F0456" w:rsidRDefault="00273E80">
      <w:pPr>
        <w:pStyle w:val="ListParagraph"/>
        <w:numPr>
          <w:ilvl w:val="0"/>
          <w:numId w:val="2"/>
        </w:numPr>
        <w:rPr>
          <w:rFonts w:ascii="Verdana" w:hAnsi="Verdana"/>
          <w:sz w:val="22"/>
          <w:szCs w:val="22"/>
        </w:rPr>
      </w:pPr>
      <w:r w:rsidRPr="001F0456">
        <w:rPr>
          <w:rFonts w:ascii="Verdana" w:hAnsi="Verdana"/>
          <w:b/>
          <w:bCs/>
          <w:sz w:val="22"/>
          <w:szCs w:val="22"/>
        </w:rPr>
        <w:t>Raising the cost of college</w:t>
      </w:r>
      <w:r w:rsidRPr="001F0456">
        <w:rPr>
          <w:rFonts w:ascii="Verdana" w:hAnsi="Verdana"/>
          <w:sz w:val="22"/>
          <w:szCs w:val="22"/>
        </w:rPr>
        <w:t xml:space="preserve"> while making it easier for predatory colleges to defraud students and taking away access to federal loans for many graduate students.</w:t>
      </w:r>
    </w:p>
    <w:p w14:paraId="1AFFDBAA" w14:textId="77777777" w:rsidR="00A11840" w:rsidRPr="001F0456" w:rsidRDefault="00A11840">
      <w:pPr>
        <w:pStyle w:val="Body"/>
        <w:rPr>
          <w:rFonts w:ascii="Verdana" w:eastAsia="Arial" w:hAnsi="Verdana" w:cs="Arial"/>
          <w:sz w:val="22"/>
          <w:szCs w:val="22"/>
        </w:rPr>
      </w:pPr>
    </w:p>
    <w:p w14:paraId="649ACB24" w14:textId="53FE0F1D" w:rsidR="00A11840" w:rsidRPr="001F0456" w:rsidRDefault="00273E80">
      <w:pPr>
        <w:pStyle w:val="Body"/>
        <w:rPr>
          <w:rFonts w:ascii="Verdana" w:eastAsia="Arial" w:hAnsi="Verdana" w:cs="Arial"/>
          <w:sz w:val="22"/>
          <w:szCs w:val="22"/>
        </w:rPr>
      </w:pPr>
      <w:r w:rsidRPr="001F0456">
        <w:rPr>
          <w:rFonts w:ascii="Verdana" w:hAnsi="Verdana"/>
          <w:sz w:val="22"/>
          <w:szCs w:val="22"/>
        </w:rPr>
        <w:t>The effect</w:t>
      </w:r>
      <w:r w:rsidR="000E2A9B" w:rsidRPr="001F0456">
        <w:rPr>
          <w:rFonts w:ascii="Verdana" w:hAnsi="Verdana"/>
          <w:sz w:val="22"/>
          <w:szCs w:val="22"/>
        </w:rPr>
        <w:t xml:space="preserve">? </w:t>
      </w:r>
      <w:r w:rsidRPr="001F0456">
        <w:rPr>
          <w:rFonts w:ascii="Verdana" w:hAnsi="Verdana"/>
          <w:sz w:val="22"/>
          <w:szCs w:val="22"/>
        </w:rPr>
        <w:t xml:space="preserve">A billionaire-first agenda that will </w:t>
      </w:r>
      <w:hyperlink r:id="rId11" w:history="1">
        <w:r w:rsidR="00A11840" w:rsidRPr="001F0456">
          <w:rPr>
            <w:rStyle w:val="Hyperlink"/>
            <w:rFonts w:ascii="Verdana" w:hAnsi="Verdana"/>
            <w:sz w:val="22"/>
            <w:szCs w:val="22"/>
          </w:rPr>
          <w:t>make things even</w:t>
        </w:r>
      </w:hyperlink>
      <w:r w:rsidRPr="001F0456">
        <w:rPr>
          <w:rFonts w:ascii="Verdana" w:hAnsi="Verdana"/>
          <w:sz w:val="22"/>
          <w:szCs w:val="22"/>
        </w:rPr>
        <w:t xml:space="preserve"> worse for Americans struggling to make ends meet</w:t>
      </w:r>
      <w:r w:rsidR="004C32A1" w:rsidRPr="001F0456">
        <w:rPr>
          <w:rFonts w:ascii="Verdana" w:hAnsi="Verdana"/>
          <w:sz w:val="22"/>
          <w:szCs w:val="22"/>
        </w:rPr>
        <w:t>,</w:t>
      </w:r>
      <w:r w:rsidRPr="001F0456">
        <w:rPr>
          <w:rFonts w:ascii="Verdana" w:hAnsi="Verdana"/>
          <w:sz w:val="22"/>
          <w:szCs w:val="22"/>
        </w:rPr>
        <w:t xml:space="preserve"> by stoking inflation, raising interest rates and forcing people to pay more for healthcare, food and utility bills. </w:t>
      </w:r>
    </w:p>
    <w:p w14:paraId="217021BC" w14:textId="77777777" w:rsidR="00A11840" w:rsidRPr="001F0456" w:rsidRDefault="00A11840">
      <w:pPr>
        <w:pStyle w:val="Body"/>
        <w:rPr>
          <w:rFonts w:ascii="Verdana" w:eastAsia="Arial" w:hAnsi="Verdana" w:cs="Arial"/>
          <w:sz w:val="22"/>
          <w:szCs w:val="22"/>
        </w:rPr>
      </w:pPr>
    </w:p>
    <w:p w14:paraId="65CAF439" w14:textId="1EBC4BF4" w:rsidR="00A11840" w:rsidRPr="001F0456" w:rsidRDefault="00273E80">
      <w:pPr>
        <w:pStyle w:val="Body"/>
        <w:rPr>
          <w:rFonts w:ascii="Verdana" w:eastAsia="Arial" w:hAnsi="Verdana" w:cs="Arial"/>
          <w:sz w:val="22"/>
          <w:szCs w:val="22"/>
        </w:rPr>
      </w:pPr>
      <w:r w:rsidRPr="001F0456">
        <w:rPr>
          <w:rFonts w:ascii="Verdana" w:hAnsi="Verdana"/>
          <w:sz w:val="22"/>
          <w:szCs w:val="22"/>
        </w:rPr>
        <w:t xml:space="preserve">What follows is </w:t>
      </w:r>
      <w:r w:rsidR="004C32A1" w:rsidRPr="001F0456">
        <w:rPr>
          <w:rFonts w:ascii="Verdana" w:hAnsi="Verdana"/>
          <w:sz w:val="22"/>
          <w:szCs w:val="22"/>
        </w:rPr>
        <w:t xml:space="preserve">a </w:t>
      </w:r>
      <w:r w:rsidRPr="001F0456">
        <w:rPr>
          <w:rFonts w:ascii="Verdana" w:hAnsi="Verdana"/>
          <w:sz w:val="22"/>
          <w:szCs w:val="22"/>
        </w:rPr>
        <w:t xml:space="preserve">summary of the </w:t>
      </w:r>
      <w:r w:rsidR="004C32A1" w:rsidRPr="001F0456">
        <w:rPr>
          <w:rFonts w:ascii="Verdana" w:hAnsi="Verdana"/>
          <w:sz w:val="22"/>
          <w:szCs w:val="22"/>
        </w:rPr>
        <w:t>One Big Beautiful Bill Act</w:t>
      </w:r>
      <w:r w:rsidRPr="001F0456">
        <w:rPr>
          <w:rFonts w:ascii="Verdana" w:hAnsi="Verdana"/>
          <w:sz w:val="22"/>
          <w:szCs w:val="22"/>
        </w:rPr>
        <w:t xml:space="preserve"> and how it will affect AFT members and the communities </w:t>
      </w:r>
      <w:r w:rsidR="00031098" w:rsidRPr="001F0456">
        <w:rPr>
          <w:rFonts w:ascii="Verdana" w:hAnsi="Verdana"/>
          <w:sz w:val="22"/>
          <w:szCs w:val="22"/>
        </w:rPr>
        <w:t xml:space="preserve">where </w:t>
      </w:r>
      <w:r w:rsidRPr="001F0456">
        <w:rPr>
          <w:rFonts w:ascii="Verdana" w:hAnsi="Verdana"/>
          <w:sz w:val="22"/>
          <w:szCs w:val="22"/>
        </w:rPr>
        <w:t xml:space="preserve">they work and live. We must educate our communities so they know what is in the bill and </w:t>
      </w:r>
      <w:r w:rsidR="004C32A1" w:rsidRPr="001F0456">
        <w:rPr>
          <w:rFonts w:ascii="Verdana" w:hAnsi="Verdana"/>
          <w:sz w:val="22"/>
          <w:szCs w:val="22"/>
        </w:rPr>
        <w:t xml:space="preserve">will </w:t>
      </w:r>
      <w:r w:rsidRPr="001F0456">
        <w:rPr>
          <w:rFonts w:ascii="Verdana" w:hAnsi="Verdana"/>
          <w:sz w:val="22"/>
          <w:szCs w:val="22"/>
        </w:rPr>
        <w:t xml:space="preserve">not </w:t>
      </w:r>
      <w:r w:rsidR="004C32A1" w:rsidRPr="001F0456">
        <w:rPr>
          <w:rFonts w:ascii="Verdana" w:hAnsi="Verdana"/>
          <w:sz w:val="22"/>
          <w:szCs w:val="22"/>
        </w:rPr>
        <w:t>only</w:t>
      </w:r>
      <w:r w:rsidRPr="001F0456">
        <w:rPr>
          <w:rFonts w:ascii="Verdana" w:hAnsi="Verdana"/>
          <w:sz w:val="22"/>
          <w:szCs w:val="22"/>
        </w:rPr>
        <w:t xml:space="preserve"> fight </w:t>
      </w:r>
      <w:r w:rsidR="00031098" w:rsidRPr="001F0456">
        <w:rPr>
          <w:rFonts w:ascii="Verdana" w:hAnsi="Verdana"/>
          <w:sz w:val="22"/>
          <w:szCs w:val="22"/>
        </w:rPr>
        <w:t xml:space="preserve">against </w:t>
      </w:r>
      <w:r w:rsidRPr="001F0456">
        <w:rPr>
          <w:rFonts w:ascii="Verdana" w:hAnsi="Verdana"/>
          <w:sz w:val="22"/>
          <w:szCs w:val="22"/>
        </w:rPr>
        <w:t xml:space="preserve">it but </w:t>
      </w:r>
      <w:r w:rsidR="00031098" w:rsidRPr="001F0456">
        <w:rPr>
          <w:rFonts w:ascii="Verdana" w:hAnsi="Verdana"/>
          <w:sz w:val="22"/>
          <w:szCs w:val="22"/>
        </w:rPr>
        <w:t xml:space="preserve">also </w:t>
      </w:r>
      <w:r w:rsidRPr="001F0456">
        <w:rPr>
          <w:rFonts w:ascii="Verdana" w:hAnsi="Verdana"/>
          <w:sz w:val="22"/>
          <w:szCs w:val="22"/>
        </w:rPr>
        <w:t>fight for an alternative that is</w:t>
      </w:r>
      <w:r w:rsidR="006C678E" w:rsidRPr="001F0456">
        <w:rPr>
          <w:rFonts w:ascii="Verdana" w:hAnsi="Verdana"/>
          <w:sz w:val="22"/>
          <w:szCs w:val="22"/>
        </w:rPr>
        <w:t xml:space="preserve"> </w:t>
      </w:r>
      <w:r w:rsidRPr="001F0456">
        <w:rPr>
          <w:rFonts w:ascii="Verdana" w:hAnsi="Verdana"/>
          <w:sz w:val="22"/>
          <w:szCs w:val="22"/>
        </w:rPr>
        <w:t>a pathway to a better life</w:t>
      </w:r>
      <w:r w:rsidR="006C678E" w:rsidRPr="001F0456">
        <w:rPr>
          <w:rFonts w:ascii="Verdana" w:hAnsi="Verdana"/>
          <w:sz w:val="22"/>
          <w:szCs w:val="22"/>
        </w:rPr>
        <w:t xml:space="preserve">, </w:t>
      </w:r>
      <w:r w:rsidRPr="001F0456">
        <w:rPr>
          <w:rFonts w:ascii="Verdana" w:hAnsi="Verdana"/>
          <w:sz w:val="22"/>
          <w:szCs w:val="22"/>
        </w:rPr>
        <w:t>affordability and opportunity</w:t>
      </w:r>
      <w:r w:rsidR="00031098" w:rsidRPr="001F0456">
        <w:rPr>
          <w:rFonts w:ascii="Verdana" w:hAnsi="Verdana"/>
          <w:sz w:val="22"/>
          <w:szCs w:val="22"/>
        </w:rPr>
        <w:t>,</w:t>
      </w:r>
      <w:r w:rsidRPr="001F0456">
        <w:rPr>
          <w:rFonts w:ascii="Verdana" w:hAnsi="Verdana"/>
          <w:sz w:val="22"/>
          <w:szCs w:val="22"/>
        </w:rPr>
        <w:t xml:space="preserve"> including: working-class tax cuts</w:t>
      </w:r>
      <w:r w:rsidR="00C97225" w:rsidRPr="001F0456">
        <w:rPr>
          <w:rFonts w:ascii="Verdana" w:hAnsi="Verdana"/>
          <w:sz w:val="22"/>
          <w:szCs w:val="22"/>
        </w:rPr>
        <w:t xml:space="preserve">; </w:t>
      </w:r>
      <w:r w:rsidRPr="001F0456">
        <w:rPr>
          <w:rFonts w:ascii="Verdana" w:hAnsi="Verdana"/>
          <w:sz w:val="22"/>
          <w:szCs w:val="22"/>
        </w:rPr>
        <w:t xml:space="preserve">strengthening and resourcing K-12 and higher education as engines of opportunity and democracy; protecting and expanding </w:t>
      </w:r>
      <w:r w:rsidR="00C822D4" w:rsidRPr="001F0456">
        <w:rPr>
          <w:rFonts w:ascii="Verdana" w:hAnsi="Verdana"/>
          <w:sz w:val="22"/>
          <w:szCs w:val="22"/>
        </w:rPr>
        <w:t>healthcare and</w:t>
      </w:r>
      <w:r w:rsidRPr="001F0456">
        <w:rPr>
          <w:rFonts w:ascii="Verdana" w:hAnsi="Verdana"/>
          <w:sz w:val="22"/>
          <w:szCs w:val="22"/>
        </w:rPr>
        <w:t xml:space="preserve"> nutritional support</w:t>
      </w:r>
      <w:r w:rsidR="00C97225" w:rsidRPr="001F0456">
        <w:rPr>
          <w:rFonts w:ascii="Verdana" w:hAnsi="Verdana"/>
          <w:sz w:val="22"/>
          <w:szCs w:val="22"/>
        </w:rPr>
        <w:t>;</w:t>
      </w:r>
      <w:r w:rsidRPr="001F0456">
        <w:rPr>
          <w:rFonts w:ascii="Verdana" w:hAnsi="Verdana"/>
          <w:sz w:val="22"/>
          <w:szCs w:val="22"/>
        </w:rPr>
        <w:t xml:space="preserve"> </w:t>
      </w:r>
      <w:r w:rsidR="00031098" w:rsidRPr="001F0456">
        <w:rPr>
          <w:rFonts w:ascii="Verdana" w:hAnsi="Verdana"/>
          <w:sz w:val="22"/>
          <w:szCs w:val="22"/>
        </w:rPr>
        <w:t xml:space="preserve">creating </w:t>
      </w:r>
      <w:r w:rsidRPr="001F0456">
        <w:rPr>
          <w:rFonts w:ascii="Verdana" w:hAnsi="Verdana"/>
          <w:sz w:val="22"/>
          <w:szCs w:val="22"/>
        </w:rPr>
        <w:t xml:space="preserve">good jobs and </w:t>
      </w:r>
      <w:r w:rsidR="00031098" w:rsidRPr="001F0456">
        <w:rPr>
          <w:rFonts w:ascii="Verdana" w:hAnsi="Verdana"/>
          <w:sz w:val="22"/>
          <w:szCs w:val="22"/>
        </w:rPr>
        <w:t xml:space="preserve">ensuring </w:t>
      </w:r>
      <w:r w:rsidRPr="001F0456">
        <w:rPr>
          <w:rFonts w:ascii="Verdana" w:hAnsi="Verdana"/>
          <w:sz w:val="22"/>
          <w:szCs w:val="22"/>
        </w:rPr>
        <w:t xml:space="preserve">good wages; and </w:t>
      </w:r>
      <w:r w:rsidR="00031098" w:rsidRPr="001F0456">
        <w:rPr>
          <w:rFonts w:ascii="Verdana" w:hAnsi="Verdana"/>
          <w:sz w:val="22"/>
          <w:szCs w:val="22"/>
        </w:rPr>
        <w:t xml:space="preserve">providing </w:t>
      </w:r>
      <w:r w:rsidRPr="001F0456">
        <w:rPr>
          <w:rFonts w:ascii="Verdana" w:hAnsi="Verdana"/>
          <w:sz w:val="22"/>
          <w:szCs w:val="22"/>
        </w:rPr>
        <w:t>a functioning government that works for all Americans, not just billionaires.</w:t>
      </w:r>
    </w:p>
    <w:p w14:paraId="36082120" w14:textId="77777777" w:rsidR="00A11840" w:rsidRPr="001F0456" w:rsidRDefault="00A11840">
      <w:pPr>
        <w:pStyle w:val="Body"/>
        <w:rPr>
          <w:rFonts w:ascii="Verdana" w:eastAsia="Arial" w:hAnsi="Verdana" w:cs="Arial"/>
          <w:sz w:val="22"/>
          <w:szCs w:val="22"/>
        </w:rPr>
      </w:pPr>
    </w:p>
    <w:p w14:paraId="75D00196" w14:textId="77777777" w:rsidR="000E2041" w:rsidRPr="001F0456" w:rsidRDefault="000E2041">
      <w:pPr>
        <w:rPr>
          <w:rFonts w:ascii="Verdana" w:eastAsia="Aptos" w:hAnsi="Verdana" w:cs="Aptos"/>
          <w:b/>
          <w:bCs/>
          <w:color w:val="000000"/>
          <w:kern w:val="2"/>
          <w:sz w:val="22"/>
          <w:szCs w:val="22"/>
          <w:u w:color="000000"/>
          <w14:textOutline w14:w="0" w14:cap="flat" w14:cmpd="sng" w14:algn="ctr">
            <w14:noFill/>
            <w14:prstDash w14:val="solid"/>
            <w14:bevel/>
          </w14:textOutline>
        </w:rPr>
      </w:pPr>
      <w:r w:rsidRPr="001F0456">
        <w:rPr>
          <w:rFonts w:ascii="Verdana" w:hAnsi="Verdana"/>
          <w:b/>
          <w:bCs/>
          <w:sz w:val="22"/>
          <w:szCs w:val="22"/>
        </w:rPr>
        <w:br w:type="page"/>
      </w:r>
    </w:p>
    <w:p w14:paraId="62EFF62E" w14:textId="26611785" w:rsidR="00A11840" w:rsidRPr="00A770BC" w:rsidRDefault="00273E80">
      <w:pPr>
        <w:pStyle w:val="Body"/>
        <w:jc w:val="center"/>
        <w:rPr>
          <w:rFonts w:ascii="Frutiger 45 Light" w:eastAsia="Arial" w:hAnsi="Frutiger 45 Light" w:cs="Arial"/>
          <w:b/>
          <w:bCs/>
          <w:sz w:val="28"/>
          <w:szCs w:val="28"/>
        </w:rPr>
      </w:pPr>
      <w:r w:rsidRPr="00A770BC">
        <w:rPr>
          <w:rFonts w:ascii="Frutiger 45 Light" w:hAnsi="Frutiger 45 Light"/>
          <w:b/>
          <w:bCs/>
          <w:sz w:val="28"/>
          <w:szCs w:val="28"/>
        </w:rPr>
        <w:lastRenderedPageBreak/>
        <w:t xml:space="preserve">Key Finance and Tax Provisions in </w:t>
      </w:r>
      <w:r w:rsidR="00FE3E62" w:rsidRPr="00A770BC">
        <w:rPr>
          <w:rFonts w:ascii="Frutiger 45 Light" w:hAnsi="Frutiger 45 Light"/>
          <w:b/>
          <w:bCs/>
          <w:sz w:val="28"/>
          <w:szCs w:val="28"/>
        </w:rPr>
        <w:t>the One Big Beautiful Bill Act</w:t>
      </w:r>
      <w:r w:rsidR="00FE3E62" w:rsidRPr="00A770BC" w:rsidDel="00FE3E62">
        <w:rPr>
          <w:rFonts w:ascii="Frutiger 45 Light" w:hAnsi="Frutiger 45 Light"/>
          <w:b/>
          <w:bCs/>
          <w:sz w:val="28"/>
          <w:szCs w:val="28"/>
        </w:rPr>
        <w:t xml:space="preserve"> </w:t>
      </w:r>
    </w:p>
    <w:p w14:paraId="2AC433DB" w14:textId="77777777" w:rsidR="00A11840" w:rsidRPr="001F0456" w:rsidRDefault="00A11840">
      <w:pPr>
        <w:pStyle w:val="Body"/>
        <w:rPr>
          <w:rFonts w:ascii="Verdana" w:eastAsia="Arial" w:hAnsi="Verdana" w:cs="Arial"/>
          <w:b/>
          <w:bCs/>
          <w:sz w:val="22"/>
          <w:szCs w:val="22"/>
        </w:rPr>
      </w:pPr>
    </w:p>
    <w:tbl>
      <w:tblPr>
        <w:tblStyle w:val="TableGrid"/>
        <w:tblW w:w="0" w:type="auto"/>
        <w:jc w:val="center"/>
        <w:tblLook w:val="04A0" w:firstRow="1" w:lastRow="0" w:firstColumn="1" w:lastColumn="0" w:noHBand="0" w:noVBand="1"/>
      </w:tblPr>
      <w:tblGrid>
        <w:gridCol w:w="9350"/>
      </w:tblGrid>
      <w:tr w:rsidR="009A41E7" w:rsidRPr="001F0456" w14:paraId="63A83AD1" w14:textId="77777777" w:rsidTr="009D6C22">
        <w:trPr>
          <w:trHeight w:val="562"/>
          <w:jc w:val="center"/>
        </w:trPr>
        <w:tc>
          <w:tcPr>
            <w:tcW w:w="9350" w:type="dxa"/>
            <w:tcBorders>
              <w:bottom w:val="single" w:sz="4" w:space="0" w:color="auto"/>
            </w:tcBorders>
            <w:shd w:val="clear" w:color="auto" w:fill="0F4761" w:themeFill="accent1" w:themeFillShade="BF"/>
            <w:vAlign w:val="center"/>
          </w:tcPr>
          <w:p w14:paraId="54E4AC06" w14:textId="77777777" w:rsidR="009A41E7" w:rsidRPr="001F0456" w:rsidRDefault="009A41E7" w:rsidP="004F5C4E">
            <w:pPr>
              <w:pStyle w:val="Body"/>
              <w:rPr>
                <w:rFonts w:ascii="Verdana" w:eastAsia="Arial" w:hAnsi="Verdana" w:cs="Arial"/>
                <w:b/>
                <w:bCs/>
                <w:color w:val="FFFFFF" w:themeColor="background1"/>
                <w:sz w:val="22"/>
                <w:szCs w:val="22"/>
              </w:rPr>
            </w:pPr>
            <w:r w:rsidRPr="001F0456">
              <w:rPr>
                <w:rFonts w:ascii="Verdana" w:hAnsi="Verdana"/>
                <w:b/>
                <w:bCs/>
                <w:color w:val="FFFFFF" w:themeColor="background1"/>
                <w:sz w:val="22"/>
                <w:szCs w:val="22"/>
              </w:rPr>
              <w:t xml:space="preserve">What it means for AFT members: </w:t>
            </w:r>
          </w:p>
        </w:tc>
      </w:tr>
      <w:tr w:rsidR="009A41E7" w:rsidRPr="001F0456" w14:paraId="3DE5DBE0" w14:textId="77777777" w:rsidTr="009D6C22">
        <w:trPr>
          <w:trHeight w:val="1565"/>
          <w:jc w:val="center"/>
        </w:trPr>
        <w:tc>
          <w:tcPr>
            <w:tcW w:w="9350" w:type="dxa"/>
            <w:tcBorders>
              <w:bottom w:val="nil"/>
            </w:tcBorders>
            <w:vAlign w:val="center"/>
          </w:tcPr>
          <w:p w14:paraId="36B44C74" w14:textId="77777777" w:rsidR="009A41E7" w:rsidRPr="001F0456" w:rsidRDefault="009A41E7" w:rsidP="004F5C4E">
            <w:pPr>
              <w:pStyle w:val="ListParagraph"/>
              <w:numPr>
                <w:ilvl w:val="0"/>
                <w:numId w:val="4"/>
              </w:numPr>
              <w:rPr>
                <w:rFonts w:ascii="Verdana" w:hAnsi="Verdana"/>
                <w:color w:val="333333"/>
                <w:sz w:val="22"/>
                <w:szCs w:val="22"/>
              </w:rPr>
            </w:pPr>
            <w:r w:rsidRPr="001F0456">
              <w:rPr>
                <w:rFonts w:ascii="Verdana" w:hAnsi="Verdana"/>
                <w:sz w:val="22"/>
                <w:szCs w:val="22"/>
              </w:rPr>
              <w:t xml:space="preserve">This law makes the </w:t>
            </w:r>
            <w:r w:rsidRPr="001F0456">
              <w:rPr>
                <w:rFonts w:ascii="Verdana" w:hAnsi="Verdana"/>
                <w:color w:val="333333"/>
                <w:sz w:val="22"/>
                <w:szCs w:val="22"/>
                <w:u w:color="333333"/>
                <w:shd w:val="clear" w:color="auto" w:fill="FFFFFF"/>
              </w:rPr>
              <w:t xml:space="preserve">tax code more complex with new special interest tax breaks and handouts for the ultra-wealthy. It </w:t>
            </w:r>
            <w:r w:rsidRPr="001F0456">
              <w:rPr>
                <w:rFonts w:ascii="Verdana" w:hAnsi="Verdana"/>
                <w:color w:val="212121"/>
                <w:sz w:val="22"/>
                <w:szCs w:val="22"/>
                <w:u w:color="212121"/>
              </w:rPr>
              <w:t xml:space="preserve">gives the richest 0.1 percent an average tax break of over $250,000 while raising taxes on the poorest 20 percent of Americans. This will affect some AFT members and many of the communities and constituents we work with. </w:t>
            </w:r>
          </w:p>
        </w:tc>
      </w:tr>
      <w:tr w:rsidR="009A41E7" w:rsidRPr="001F0456" w14:paraId="1151F244" w14:textId="77777777" w:rsidTr="009D6C22">
        <w:trPr>
          <w:trHeight w:val="2682"/>
          <w:jc w:val="center"/>
        </w:trPr>
        <w:tc>
          <w:tcPr>
            <w:tcW w:w="9350" w:type="dxa"/>
            <w:tcBorders>
              <w:top w:val="nil"/>
              <w:bottom w:val="nil"/>
            </w:tcBorders>
            <w:vAlign w:val="center"/>
          </w:tcPr>
          <w:p w14:paraId="36310322" w14:textId="77777777" w:rsidR="009A41E7" w:rsidRPr="001F0456" w:rsidRDefault="009A41E7" w:rsidP="004F5C4E">
            <w:pPr>
              <w:pStyle w:val="ListParagraph"/>
              <w:numPr>
                <w:ilvl w:val="0"/>
                <w:numId w:val="4"/>
              </w:numPr>
              <w:rPr>
                <w:rFonts w:ascii="Verdana" w:hAnsi="Verdana"/>
                <w:color w:val="131313"/>
                <w:sz w:val="22"/>
                <w:szCs w:val="22"/>
              </w:rPr>
            </w:pPr>
            <w:r w:rsidRPr="001F0456">
              <w:rPr>
                <w:rFonts w:ascii="Verdana" w:hAnsi="Verdana"/>
                <w:color w:val="333333"/>
                <w:sz w:val="22"/>
                <w:szCs w:val="22"/>
                <w:u w:color="333333"/>
                <w:shd w:val="clear" w:color="auto" w:fill="FFFFFF"/>
              </w:rPr>
              <w:t xml:space="preserve">Because of the size and scope of the tax cuts and </w:t>
            </w:r>
            <w:r w:rsidRPr="001F0456">
              <w:rPr>
                <w:rFonts w:ascii="Verdana" w:hAnsi="Verdana"/>
                <w:color w:val="131313"/>
                <w:sz w:val="22"/>
                <w:szCs w:val="22"/>
                <w:u w:color="131313"/>
                <w:shd w:val="clear" w:color="auto" w:fill="FFFFFF"/>
              </w:rPr>
              <w:t>spending cuts in other areas (including the huge cuts to Medicaid, food assistance and aid for higher education), there is not enough spending to counterbalance the resulting increase in the U.S. deficit. This will likely require Republicans to </w:t>
            </w:r>
            <w:hyperlink r:id="rId12" w:history="1">
              <w:r w:rsidRPr="001F0456">
                <w:rPr>
                  <w:rStyle w:val="Hyperlink1"/>
                  <w:rFonts w:ascii="Verdana" w:hAnsi="Verdana"/>
                  <w:sz w:val="22"/>
                  <w:szCs w:val="22"/>
                  <w:u w:color="467886"/>
                </w:rPr>
                <w:t>slash public benefits even further</w:t>
              </w:r>
            </w:hyperlink>
            <w:r w:rsidRPr="001F0456">
              <w:rPr>
                <w:rFonts w:ascii="Verdana" w:hAnsi="Verdana"/>
                <w:color w:val="131313"/>
                <w:sz w:val="22"/>
                <w:szCs w:val="22"/>
                <w:u w:color="131313"/>
                <w:shd w:val="clear" w:color="auto" w:fill="FFFFFF"/>
              </w:rPr>
              <w:t>, including discretionary programs (Title I, the Individuals with Disabilities Education Act, healthcare, career and technical education and more), than they already have in this law. While they haven’t gone so far as to touch Social Security benefits, they have gone after Medicaid and insurance plans under the Affordable Care Act, so the risk is real.</w:t>
            </w:r>
          </w:p>
        </w:tc>
      </w:tr>
      <w:tr w:rsidR="009A41E7" w:rsidRPr="001F0456" w14:paraId="006B5ECF" w14:textId="77777777" w:rsidTr="009D6C22">
        <w:trPr>
          <w:trHeight w:val="2340"/>
          <w:jc w:val="center"/>
        </w:trPr>
        <w:tc>
          <w:tcPr>
            <w:tcW w:w="9350" w:type="dxa"/>
            <w:tcBorders>
              <w:top w:val="nil"/>
              <w:bottom w:val="nil"/>
            </w:tcBorders>
            <w:vAlign w:val="center"/>
          </w:tcPr>
          <w:p w14:paraId="0FC7D60D" w14:textId="77777777" w:rsidR="009A41E7" w:rsidRPr="001F0456" w:rsidRDefault="009A41E7" w:rsidP="004F5C4E">
            <w:pPr>
              <w:pStyle w:val="ListParagraph"/>
              <w:numPr>
                <w:ilvl w:val="0"/>
                <w:numId w:val="4"/>
              </w:numPr>
              <w:rPr>
                <w:rFonts w:ascii="Verdana" w:hAnsi="Verdana"/>
                <w:color w:val="131313"/>
                <w:sz w:val="22"/>
                <w:szCs w:val="22"/>
              </w:rPr>
            </w:pPr>
            <w:r w:rsidRPr="001F0456">
              <w:rPr>
                <w:rFonts w:ascii="Verdana" w:hAnsi="Verdana"/>
                <w:color w:val="363636"/>
                <w:sz w:val="22"/>
                <w:szCs w:val="22"/>
                <w:u w:color="363636"/>
              </w:rPr>
              <w:t xml:space="preserve">This will put tremendous strain on state governments as Washington shifts much of the burden for healthcare, food assistance and other programs onto them—likely forcing even greater cuts. States are already facing a slowing economy and federal spending cuts. They will have to determine how they will make up the shortfall to ensure their residents have access to healthcare and social safety net programs like food assistance once they lose federal assistance. And they will have to do this while meeting the law’s new requirements. </w:t>
            </w:r>
          </w:p>
        </w:tc>
      </w:tr>
      <w:tr w:rsidR="009A41E7" w:rsidRPr="001F0456" w14:paraId="305F17CB" w14:textId="77777777" w:rsidTr="009D6C22">
        <w:trPr>
          <w:trHeight w:val="1017"/>
          <w:jc w:val="center"/>
        </w:trPr>
        <w:tc>
          <w:tcPr>
            <w:tcW w:w="9350" w:type="dxa"/>
            <w:tcBorders>
              <w:top w:val="nil"/>
              <w:bottom w:val="nil"/>
            </w:tcBorders>
            <w:vAlign w:val="center"/>
          </w:tcPr>
          <w:p w14:paraId="3220D383" w14:textId="77777777" w:rsidR="009A41E7" w:rsidRPr="001F0456" w:rsidRDefault="009A41E7" w:rsidP="004F5C4E">
            <w:pPr>
              <w:pStyle w:val="ListParagraph"/>
              <w:numPr>
                <w:ilvl w:val="0"/>
                <w:numId w:val="4"/>
              </w:numPr>
              <w:rPr>
                <w:rFonts w:ascii="Verdana" w:hAnsi="Verdana"/>
                <w:color w:val="131313"/>
                <w:sz w:val="22"/>
                <w:szCs w:val="22"/>
              </w:rPr>
            </w:pPr>
            <w:r w:rsidRPr="001F0456">
              <w:rPr>
                <w:rFonts w:ascii="Verdana" w:hAnsi="Verdana"/>
                <w:color w:val="0E1634"/>
                <w:sz w:val="22"/>
                <w:szCs w:val="22"/>
                <w:u w:color="0E1634"/>
                <w:shd w:val="clear" w:color="auto" w:fill="FFFFFF"/>
              </w:rPr>
              <w:t>The shortfall could decimate state education, healthcare and public services, forever altering the roles our schools, colleges, public health facilities and government play in equalizing opportunity.</w:t>
            </w:r>
          </w:p>
        </w:tc>
      </w:tr>
      <w:tr w:rsidR="009A41E7" w:rsidRPr="001F0456" w14:paraId="39AE4AEB" w14:textId="77777777" w:rsidTr="009D6C22">
        <w:trPr>
          <w:trHeight w:val="990"/>
          <w:jc w:val="center"/>
        </w:trPr>
        <w:tc>
          <w:tcPr>
            <w:tcW w:w="9350" w:type="dxa"/>
            <w:tcBorders>
              <w:top w:val="nil"/>
            </w:tcBorders>
            <w:vAlign w:val="center"/>
          </w:tcPr>
          <w:p w14:paraId="4B208580" w14:textId="77777777" w:rsidR="009A41E7" w:rsidRPr="001F0456" w:rsidRDefault="009A41E7" w:rsidP="004F5C4E">
            <w:pPr>
              <w:pStyle w:val="ListParagraph"/>
              <w:numPr>
                <w:ilvl w:val="0"/>
                <w:numId w:val="4"/>
              </w:numPr>
              <w:rPr>
                <w:rFonts w:ascii="Verdana" w:hAnsi="Verdana"/>
                <w:color w:val="131313"/>
                <w:sz w:val="22"/>
                <w:szCs w:val="22"/>
              </w:rPr>
            </w:pPr>
            <w:r w:rsidRPr="001F0456">
              <w:rPr>
                <w:rFonts w:ascii="Verdana" w:hAnsi="Verdana"/>
                <w:color w:val="333333"/>
                <w:sz w:val="22"/>
                <w:szCs w:val="22"/>
                <w:u w:color="333333"/>
                <w:shd w:val="clear" w:color="auto" w:fill="FFFFFF"/>
              </w:rPr>
              <w:t>The AFT will prioritize repealing and replacing these disastrous policies to protect American families from rising costs and loss of healthcare coverage. </w:t>
            </w:r>
          </w:p>
        </w:tc>
      </w:tr>
    </w:tbl>
    <w:p w14:paraId="6457DC39" w14:textId="77777777" w:rsidR="00A11840" w:rsidRPr="001F0456" w:rsidRDefault="00A11840">
      <w:pPr>
        <w:pStyle w:val="Body"/>
        <w:rPr>
          <w:rFonts w:ascii="Verdana" w:eastAsia="Arial" w:hAnsi="Verdana" w:cs="Arial"/>
          <w:sz w:val="22"/>
          <w:szCs w:val="22"/>
        </w:rPr>
      </w:pPr>
    </w:p>
    <w:p w14:paraId="0F7F42C1" w14:textId="3DC2542C" w:rsidR="00F77A5F" w:rsidRPr="00A770BC" w:rsidRDefault="00273E80">
      <w:pPr>
        <w:pStyle w:val="Body"/>
        <w:rPr>
          <w:rFonts w:ascii="Frutiger 45 Light" w:hAnsi="Frutiger 45 Light"/>
        </w:rPr>
      </w:pPr>
      <w:r w:rsidRPr="00A770BC">
        <w:rPr>
          <w:rFonts w:ascii="Frutiger 45 Light" w:hAnsi="Frutiger 45 Light"/>
          <w:b/>
          <w:bCs/>
          <w:lang w:val="fr-FR"/>
        </w:rPr>
        <w:t>Tax</w:t>
      </w:r>
      <w:r w:rsidR="0055488F" w:rsidRPr="00A770BC">
        <w:rPr>
          <w:rFonts w:ascii="Frutiger 45 Light" w:hAnsi="Frutiger 45 Light"/>
          <w:b/>
          <w:bCs/>
          <w:lang w:val="fr-FR"/>
        </w:rPr>
        <w:t xml:space="preserve"> Provisions</w:t>
      </w:r>
    </w:p>
    <w:p w14:paraId="2EA66C9A" w14:textId="77777777" w:rsidR="00F77A5F" w:rsidRPr="001F0456" w:rsidRDefault="00F77A5F">
      <w:pPr>
        <w:pStyle w:val="Body"/>
        <w:rPr>
          <w:rFonts w:ascii="Verdana" w:hAnsi="Verdana"/>
          <w:sz w:val="22"/>
          <w:szCs w:val="22"/>
        </w:rPr>
      </w:pPr>
    </w:p>
    <w:p w14:paraId="7BB6EF1F" w14:textId="77777777" w:rsidR="00206042" w:rsidRPr="001F0456" w:rsidRDefault="00206042">
      <w:pPr>
        <w:pStyle w:val="Body"/>
        <w:rPr>
          <w:rFonts w:ascii="Verdana" w:hAnsi="Verdana"/>
          <w:sz w:val="22"/>
          <w:szCs w:val="22"/>
        </w:rPr>
      </w:pPr>
      <w:r w:rsidRPr="001F0456">
        <w:rPr>
          <w:rFonts w:ascii="Verdana" w:hAnsi="Verdana"/>
          <w:sz w:val="22"/>
          <w:szCs w:val="22"/>
        </w:rPr>
        <w:t>Under the law’s tax provisions, billionaires are the winners and workers are the losers.</w:t>
      </w:r>
    </w:p>
    <w:p w14:paraId="21437CC1" w14:textId="2A1C66E9" w:rsidR="00A11840" w:rsidRPr="001F0456" w:rsidRDefault="00A11840">
      <w:pPr>
        <w:pStyle w:val="Body"/>
        <w:rPr>
          <w:rFonts w:ascii="Verdana" w:eastAsia="Arial" w:hAnsi="Verdana" w:cs="Arial"/>
          <w:sz w:val="22"/>
          <w:szCs w:val="22"/>
        </w:rPr>
      </w:pPr>
    </w:p>
    <w:p w14:paraId="3515C511" w14:textId="30286383" w:rsidR="00A11840" w:rsidRPr="001F0456" w:rsidRDefault="00273E80">
      <w:pPr>
        <w:pStyle w:val="ListParagraph"/>
        <w:numPr>
          <w:ilvl w:val="0"/>
          <w:numId w:val="6"/>
        </w:numPr>
        <w:rPr>
          <w:rFonts w:ascii="Verdana" w:hAnsi="Verdana"/>
          <w:sz w:val="22"/>
          <w:szCs w:val="22"/>
        </w:rPr>
      </w:pPr>
      <w:r w:rsidRPr="001F0456">
        <w:rPr>
          <w:rFonts w:ascii="Verdana" w:hAnsi="Verdana"/>
          <w:sz w:val="22"/>
          <w:szCs w:val="22"/>
        </w:rPr>
        <w:t>Makes existing tax rates and brackets</w:t>
      </w:r>
      <w:r w:rsidR="00671B93" w:rsidRPr="001F0456">
        <w:rPr>
          <w:rFonts w:ascii="Verdana" w:hAnsi="Verdana"/>
          <w:sz w:val="22"/>
          <w:szCs w:val="22"/>
        </w:rPr>
        <w:t xml:space="preserve"> permanent</w:t>
      </w:r>
      <w:r w:rsidR="000E4E84" w:rsidRPr="001F0456">
        <w:rPr>
          <w:rFonts w:ascii="Verdana" w:hAnsi="Verdana"/>
          <w:sz w:val="22"/>
          <w:szCs w:val="22"/>
        </w:rPr>
        <w:t>,</w:t>
      </w:r>
      <w:r w:rsidRPr="001F0456">
        <w:rPr>
          <w:rFonts w:ascii="Verdana" w:hAnsi="Verdana"/>
          <w:sz w:val="22"/>
          <w:szCs w:val="22"/>
        </w:rPr>
        <w:t xml:space="preserve"> increases the standard deduction by $750 ($1,500 for married joint filers) and makes higher amounts permanent (subject to inflation adjustments)</w:t>
      </w:r>
      <w:r w:rsidR="00206042" w:rsidRPr="001F0456">
        <w:rPr>
          <w:rFonts w:ascii="Verdana" w:hAnsi="Verdana"/>
          <w:sz w:val="22"/>
          <w:szCs w:val="22"/>
        </w:rPr>
        <w:t>.</w:t>
      </w:r>
      <w:r w:rsidRPr="001F0456">
        <w:rPr>
          <w:rFonts w:ascii="Verdana" w:hAnsi="Verdana"/>
          <w:sz w:val="22"/>
          <w:szCs w:val="22"/>
        </w:rPr>
        <w:t xml:space="preserve"> </w:t>
      </w:r>
    </w:p>
    <w:p w14:paraId="1F35FC90" w14:textId="7CB2C6C7" w:rsidR="00A11840" w:rsidRPr="001F0456" w:rsidRDefault="00273E80">
      <w:pPr>
        <w:pStyle w:val="ListParagraph"/>
        <w:numPr>
          <w:ilvl w:val="0"/>
          <w:numId w:val="6"/>
        </w:numPr>
        <w:rPr>
          <w:rFonts w:ascii="Verdana" w:hAnsi="Verdana"/>
          <w:sz w:val="22"/>
          <w:szCs w:val="22"/>
        </w:rPr>
      </w:pPr>
      <w:r w:rsidRPr="001F0456">
        <w:rPr>
          <w:rFonts w:ascii="Verdana" w:hAnsi="Verdana"/>
          <w:sz w:val="22"/>
          <w:szCs w:val="22"/>
        </w:rPr>
        <w:t>Caps state and local tax deductions at $40,000 for married joint filers for the next five ye</w:t>
      </w:r>
      <w:r w:rsidR="00C822D4" w:rsidRPr="001F0456">
        <w:rPr>
          <w:rFonts w:ascii="Verdana" w:hAnsi="Verdana"/>
          <w:sz w:val="22"/>
          <w:szCs w:val="22"/>
        </w:rPr>
        <w:t>ar</w:t>
      </w:r>
      <w:r w:rsidR="00206042" w:rsidRPr="001F0456">
        <w:rPr>
          <w:rFonts w:ascii="Verdana" w:hAnsi="Verdana"/>
          <w:sz w:val="22"/>
          <w:szCs w:val="22"/>
        </w:rPr>
        <w:t>s</w:t>
      </w:r>
      <w:r w:rsidR="00C822D4" w:rsidRPr="001F0456">
        <w:rPr>
          <w:rFonts w:ascii="Verdana" w:hAnsi="Verdana"/>
          <w:sz w:val="22"/>
          <w:szCs w:val="22"/>
        </w:rPr>
        <w:t>.</w:t>
      </w:r>
    </w:p>
    <w:p w14:paraId="7526DC8D" w14:textId="77106C9E" w:rsidR="00A11840" w:rsidRPr="001F0456" w:rsidRDefault="00273E80">
      <w:pPr>
        <w:pStyle w:val="ListParagraph"/>
        <w:numPr>
          <w:ilvl w:val="0"/>
          <w:numId w:val="6"/>
        </w:numPr>
        <w:rPr>
          <w:rFonts w:ascii="Verdana" w:hAnsi="Verdana"/>
          <w:sz w:val="22"/>
          <w:szCs w:val="22"/>
        </w:rPr>
      </w:pPr>
      <w:r w:rsidRPr="001F0456">
        <w:rPr>
          <w:rFonts w:ascii="Verdana" w:hAnsi="Verdana"/>
          <w:sz w:val="22"/>
          <w:szCs w:val="22"/>
        </w:rPr>
        <w:t xml:space="preserve">Provides temporary above-the-line deductions for tips ($25,000) and overtime pay ($12,500); </w:t>
      </w:r>
      <w:r w:rsidR="000E4E84" w:rsidRPr="001F0456">
        <w:rPr>
          <w:rFonts w:ascii="Verdana" w:hAnsi="Verdana"/>
          <w:sz w:val="22"/>
          <w:szCs w:val="22"/>
        </w:rPr>
        <w:t xml:space="preserve">this </w:t>
      </w:r>
      <w:r w:rsidRPr="001F0456">
        <w:rPr>
          <w:rFonts w:ascii="Verdana" w:hAnsi="Verdana"/>
          <w:sz w:val="22"/>
          <w:szCs w:val="22"/>
        </w:rPr>
        <w:t xml:space="preserve">phases down based </w:t>
      </w:r>
      <w:r w:rsidR="00206042" w:rsidRPr="001F0456">
        <w:rPr>
          <w:rFonts w:ascii="Verdana" w:hAnsi="Verdana"/>
          <w:sz w:val="22"/>
          <w:szCs w:val="22"/>
        </w:rPr>
        <w:t xml:space="preserve">on </w:t>
      </w:r>
      <w:r w:rsidRPr="001F0456">
        <w:rPr>
          <w:rFonts w:ascii="Verdana" w:hAnsi="Verdana"/>
          <w:sz w:val="22"/>
          <w:szCs w:val="22"/>
        </w:rPr>
        <w:t>income levels.</w:t>
      </w:r>
    </w:p>
    <w:p w14:paraId="6EE80EEC" w14:textId="606C798F" w:rsidR="00A11840" w:rsidRPr="001F0456" w:rsidRDefault="00273E80" w:rsidP="00206042">
      <w:pPr>
        <w:pStyle w:val="ListParagraph"/>
        <w:numPr>
          <w:ilvl w:val="0"/>
          <w:numId w:val="6"/>
        </w:numPr>
        <w:rPr>
          <w:rFonts w:ascii="Verdana" w:hAnsi="Verdana"/>
          <w:sz w:val="22"/>
          <w:szCs w:val="22"/>
        </w:rPr>
      </w:pPr>
      <w:r w:rsidRPr="001F0456">
        <w:rPr>
          <w:rFonts w:ascii="Verdana" w:hAnsi="Verdana"/>
          <w:sz w:val="22"/>
          <w:szCs w:val="22"/>
        </w:rPr>
        <w:lastRenderedPageBreak/>
        <w:t xml:space="preserve">Permanently increases the </w:t>
      </w:r>
      <w:r w:rsidR="00206042" w:rsidRPr="001F0456">
        <w:rPr>
          <w:rFonts w:ascii="Verdana" w:hAnsi="Verdana"/>
          <w:sz w:val="22"/>
          <w:szCs w:val="22"/>
        </w:rPr>
        <w:t>c</w:t>
      </w:r>
      <w:r w:rsidRPr="001F0456">
        <w:rPr>
          <w:rFonts w:ascii="Verdana" w:hAnsi="Verdana"/>
          <w:sz w:val="22"/>
          <w:szCs w:val="22"/>
        </w:rPr>
        <w:t xml:space="preserve">hild </w:t>
      </w:r>
      <w:r w:rsidR="00206042" w:rsidRPr="001F0456">
        <w:rPr>
          <w:rFonts w:ascii="Verdana" w:hAnsi="Verdana"/>
          <w:sz w:val="22"/>
          <w:szCs w:val="22"/>
        </w:rPr>
        <w:t>t</w:t>
      </w:r>
      <w:r w:rsidRPr="001F0456">
        <w:rPr>
          <w:rFonts w:ascii="Verdana" w:hAnsi="Verdana"/>
          <w:sz w:val="22"/>
          <w:szCs w:val="22"/>
        </w:rPr>
        <w:t xml:space="preserve">ax </w:t>
      </w:r>
      <w:r w:rsidR="00206042" w:rsidRPr="001F0456">
        <w:rPr>
          <w:rFonts w:ascii="Verdana" w:hAnsi="Verdana"/>
          <w:sz w:val="22"/>
          <w:szCs w:val="22"/>
        </w:rPr>
        <w:t>c</w:t>
      </w:r>
      <w:r w:rsidRPr="001F0456">
        <w:rPr>
          <w:rFonts w:ascii="Verdana" w:hAnsi="Verdana"/>
          <w:sz w:val="22"/>
          <w:szCs w:val="22"/>
        </w:rPr>
        <w:t>redit to $2</w:t>
      </w:r>
      <w:r w:rsidR="00206042" w:rsidRPr="001F0456">
        <w:rPr>
          <w:rFonts w:ascii="Verdana" w:hAnsi="Verdana"/>
          <w:sz w:val="22"/>
          <w:szCs w:val="22"/>
        </w:rPr>
        <w:t>,</w:t>
      </w:r>
      <w:r w:rsidRPr="001F0456">
        <w:rPr>
          <w:rFonts w:ascii="Verdana" w:hAnsi="Verdana"/>
          <w:sz w:val="22"/>
          <w:szCs w:val="22"/>
        </w:rPr>
        <w:t xml:space="preserve">200 per child. However, </w:t>
      </w:r>
      <w:r w:rsidRPr="001F0456">
        <w:rPr>
          <w:rFonts w:ascii="Verdana" w:hAnsi="Verdana"/>
          <w:color w:val="212121"/>
          <w:sz w:val="22"/>
          <w:szCs w:val="22"/>
          <w:u w:color="212121"/>
        </w:rPr>
        <w:t>recent data show that 2.6 million kids will lose the child tax credit because of their parents’ immigration status.</w:t>
      </w:r>
    </w:p>
    <w:p w14:paraId="57915DC2" w14:textId="7A5F0DF7" w:rsidR="00A11840" w:rsidRPr="001F0456" w:rsidRDefault="00273E80" w:rsidP="00206042">
      <w:pPr>
        <w:pStyle w:val="ListParagraph"/>
        <w:numPr>
          <w:ilvl w:val="0"/>
          <w:numId w:val="6"/>
        </w:numPr>
        <w:rPr>
          <w:rFonts w:ascii="Verdana" w:hAnsi="Verdana"/>
          <w:sz w:val="22"/>
          <w:szCs w:val="22"/>
        </w:rPr>
      </w:pPr>
      <w:r w:rsidRPr="001F0456">
        <w:rPr>
          <w:rFonts w:ascii="Verdana" w:hAnsi="Verdana"/>
          <w:sz w:val="22"/>
          <w:szCs w:val="22"/>
        </w:rPr>
        <w:t xml:space="preserve">Provides </w:t>
      </w:r>
      <w:r w:rsidR="00206042" w:rsidRPr="001F0456">
        <w:rPr>
          <w:rFonts w:ascii="Verdana" w:hAnsi="Verdana"/>
          <w:sz w:val="22"/>
          <w:szCs w:val="22"/>
        </w:rPr>
        <w:t xml:space="preserve">a </w:t>
      </w:r>
      <w:r w:rsidRPr="001F0456">
        <w:rPr>
          <w:rFonts w:ascii="Verdana" w:hAnsi="Verdana"/>
          <w:sz w:val="22"/>
          <w:szCs w:val="22"/>
        </w:rPr>
        <w:t>temporary deduction</w:t>
      </w:r>
      <w:r w:rsidR="00206042" w:rsidRPr="001F0456">
        <w:rPr>
          <w:rFonts w:ascii="Verdana" w:hAnsi="Verdana"/>
          <w:sz w:val="22"/>
          <w:szCs w:val="22"/>
        </w:rPr>
        <w:t>—</w:t>
      </w:r>
      <w:r w:rsidRPr="001F0456">
        <w:rPr>
          <w:rFonts w:ascii="Verdana" w:hAnsi="Verdana"/>
          <w:sz w:val="22"/>
          <w:szCs w:val="22"/>
        </w:rPr>
        <w:t>up to $10,000</w:t>
      </w:r>
      <w:r w:rsidR="00206042" w:rsidRPr="001F0456">
        <w:rPr>
          <w:rFonts w:ascii="Verdana" w:hAnsi="Verdana"/>
          <w:sz w:val="22"/>
          <w:szCs w:val="22"/>
        </w:rPr>
        <w:t>—</w:t>
      </w:r>
      <w:r w:rsidRPr="001F0456">
        <w:rPr>
          <w:rFonts w:ascii="Verdana" w:hAnsi="Verdana"/>
          <w:sz w:val="22"/>
          <w:szCs w:val="22"/>
        </w:rPr>
        <w:t xml:space="preserve">for car loan interest associated with vehicles </w:t>
      </w:r>
      <w:r w:rsidR="00EE47C9" w:rsidRPr="001F0456">
        <w:rPr>
          <w:rFonts w:ascii="Verdana" w:hAnsi="Verdana"/>
          <w:sz w:val="22"/>
          <w:szCs w:val="22"/>
        </w:rPr>
        <w:t>with</w:t>
      </w:r>
      <w:r w:rsidRPr="001F0456">
        <w:rPr>
          <w:rFonts w:ascii="Verdana" w:hAnsi="Verdana"/>
          <w:sz w:val="22"/>
          <w:szCs w:val="22"/>
        </w:rPr>
        <w:t xml:space="preserve"> final assembly in the U.S. The </w:t>
      </w:r>
      <w:r w:rsidR="00C822D4" w:rsidRPr="001F0456">
        <w:rPr>
          <w:rFonts w:ascii="Verdana" w:hAnsi="Verdana"/>
          <w:sz w:val="22"/>
          <w:szCs w:val="22"/>
        </w:rPr>
        <w:t>deduction phases</w:t>
      </w:r>
      <w:r w:rsidRPr="001F0456">
        <w:rPr>
          <w:rFonts w:ascii="Verdana" w:hAnsi="Verdana"/>
          <w:sz w:val="22"/>
          <w:szCs w:val="22"/>
        </w:rPr>
        <w:t xml:space="preserve"> down based on income.</w:t>
      </w:r>
    </w:p>
    <w:p w14:paraId="7EC6B636" w14:textId="2BA7A542" w:rsidR="00A11840" w:rsidRPr="001F0456" w:rsidRDefault="00273E80" w:rsidP="00206042">
      <w:pPr>
        <w:pStyle w:val="ListParagraph"/>
        <w:numPr>
          <w:ilvl w:val="0"/>
          <w:numId w:val="6"/>
        </w:numPr>
        <w:rPr>
          <w:rFonts w:ascii="Verdana" w:hAnsi="Verdana" w:cs="Arial"/>
          <w:sz w:val="22"/>
          <w:szCs w:val="22"/>
        </w:rPr>
      </w:pPr>
      <w:r w:rsidRPr="001F0456">
        <w:rPr>
          <w:rFonts w:ascii="Verdana" w:hAnsi="Verdana" w:cs="Arial"/>
          <w:sz w:val="22"/>
          <w:szCs w:val="22"/>
        </w:rPr>
        <w:t>Among other provisions friendly to business and manufacturing, the law restores a tax break from the 2017 tax package that allowed businesses to fully write off the cost of equipment in the first year it was purchased. The incentive has been phasing out since 2023. It also will allow businesses to write off the cost of research and development in the year it was incurred</w:t>
      </w:r>
      <w:r w:rsidR="00547D77" w:rsidRPr="001F0456">
        <w:rPr>
          <w:rFonts w:ascii="Verdana" w:hAnsi="Verdana" w:cs="Arial"/>
          <w:sz w:val="22"/>
          <w:szCs w:val="22"/>
        </w:rPr>
        <w:t>,</w:t>
      </w:r>
      <w:r w:rsidRPr="001F0456">
        <w:rPr>
          <w:rFonts w:ascii="Verdana" w:hAnsi="Verdana" w:cs="Arial"/>
          <w:sz w:val="22"/>
          <w:szCs w:val="22"/>
        </w:rPr>
        <w:t xml:space="preserve"> and </w:t>
      </w:r>
      <w:r w:rsidR="00547D77" w:rsidRPr="001F0456">
        <w:rPr>
          <w:rFonts w:ascii="Verdana" w:hAnsi="Verdana" w:cs="Arial"/>
          <w:sz w:val="22"/>
          <w:szCs w:val="22"/>
        </w:rPr>
        <w:t xml:space="preserve">it </w:t>
      </w:r>
      <w:r w:rsidRPr="001F0456">
        <w:rPr>
          <w:rFonts w:ascii="Verdana" w:hAnsi="Verdana" w:cs="Arial"/>
          <w:sz w:val="22"/>
          <w:szCs w:val="22"/>
        </w:rPr>
        <w:t>make</w:t>
      </w:r>
      <w:r w:rsidR="00547D77" w:rsidRPr="001F0456">
        <w:rPr>
          <w:rFonts w:ascii="Verdana" w:hAnsi="Verdana" w:cs="Arial"/>
          <w:sz w:val="22"/>
          <w:szCs w:val="22"/>
        </w:rPr>
        <w:t>s</w:t>
      </w:r>
      <w:r w:rsidRPr="001F0456">
        <w:rPr>
          <w:rFonts w:ascii="Verdana" w:hAnsi="Verdana" w:cs="Arial"/>
          <w:sz w:val="22"/>
          <w:szCs w:val="22"/>
        </w:rPr>
        <w:t xml:space="preserve"> significant changes to how the U</w:t>
      </w:r>
      <w:r w:rsidR="00EE47C9" w:rsidRPr="001F0456">
        <w:rPr>
          <w:rFonts w:ascii="Verdana" w:hAnsi="Verdana" w:cs="Arial"/>
          <w:sz w:val="22"/>
          <w:szCs w:val="22"/>
        </w:rPr>
        <w:t>.</w:t>
      </w:r>
      <w:r w:rsidRPr="001F0456">
        <w:rPr>
          <w:rFonts w:ascii="Verdana" w:hAnsi="Verdana" w:cs="Arial"/>
          <w:sz w:val="22"/>
          <w:szCs w:val="22"/>
        </w:rPr>
        <w:t>S</w:t>
      </w:r>
      <w:r w:rsidR="00EE47C9" w:rsidRPr="001F0456">
        <w:rPr>
          <w:rFonts w:ascii="Verdana" w:hAnsi="Verdana" w:cs="Arial"/>
          <w:sz w:val="22"/>
          <w:szCs w:val="22"/>
        </w:rPr>
        <w:t>.</w:t>
      </w:r>
      <w:r w:rsidRPr="001F0456">
        <w:rPr>
          <w:rFonts w:ascii="Verdana" w:hAnsi="Verdana" w:cs="Arial"/>
          <w:sz w:val="22"/>
          <w:szCs w:val="22"/>
        </w:rPr>
        <w:t xml:space="preserve"> tax code treats the construction of new facilities, including </w:t>
      </w:r>
      <w:r w:rsidR="00547D77" w:rsidRPr="001F0456">
        <w:rPr>
          <w:rFonts w:ascii="Verdana" w:hAnsi="Verdana" w:cs="Arial"/>
          <w:sz w:val="22"/>
          <w:szCs w:val="22"/>
        </w:rPr>
        <w:t xml:space="preserve">allowing businesses </w:t>
      </w:r>
      <w:r w:rsidRPr="001F0456">
        <w:rPr>
          <w:rFonts w:ascii="Verdana" w:hAnsi="Verdana" w:cs="Arial"/>
          <w:sz w:val="22"/>
          <w:szCs w:val="22"/>
        </w:rPr>
        <w:t>to fully and immediately deduct the costs.</w:t>
      </w:r>
      <w:r w:rsidRPr="001F0456">
        <w:rPr>
          <w:rFonts w:ascii="Verdana" w:hAnsi="Verdana" w:cs="Arial"/>
          <w:color w:val="0C0C0C"/>
          <w:sz w:val="22"/>
          <w:szCs w:val="22"/>
          <w:u w:color="0C0C0C"/>
        </w:rPr>
        <w:t xml:space="preserve">  </w:t>
      </w:r>
    </w:p>
    <w:p w14:paraId="2849348C" w14:textId="051F0E17" w:rsidR="00A11840" w:rsidRPr="001F0456" w:rsidRDefault="00273E80" w:rsidP="00206042">
      <w:pPr>
        <w:pStyle w:val="ListParagraph"/>
        <w:numPr>
          <w:ilvl w:val="0"/>
          <w:numId w:val="6"/>
        </w:numPr>
        <w:rPr>
          <w:rFonts w:ascii="Verdana" w:hAnsi="Verdana"/>
          <w:color w:val="0C0C0C"/>
          <w:sz w:val="22"/>
          <w:szCs w:val="22"/>
        </w:rPr>
      </w:pPr>
      <w:r w:rsidRPr="001F0456">
        <w:rPr>
          <w:rFonts w:ascii="Verdana" w:hAnsi="Verdana"/>
          <w:color w:val="0C0C0C"/>
          <w:sz w:val="22"/>
          <w:szCs w:val="22"/>
          <w:u w:color="0C0C0C"/>
        </w:rPr>
        <w:t xml:space="preserve">Increases the estate tax to $30 million. </w:t>
      </w:r>
      <w:r w:rsidR="00547D77" w:rsidRPr="001F0456">
        <w:rPr>
          <w:rFonts w:ascii="Verdana" w:hAnsi="Verdana"/>
          <w:color w:val="0C0C0C"/>
          <w:sz w:val="22"/>
          <w:szCs w:val="22"/>
          <w:u w:color="0C0C0C"/>
        </w:rPr>
        <w:t>This m</w:t>
      </w:r>
      <w:r w:rsidRPr="001F0456">
        <w:rPr>
          <w:rFonts w:ascii="Verdana" w:hAnsi="Verdana"/>
          <w:color w:val="0C0C0C"/>
          <w:sz w:val="22"/>
          <w:szCs w:val="22"/>
          <w:u w:color="0C0C0C"/>
        </w:rPr>
        <w:t>ean</w:t>
      </w:r>
      <w:r w:rsidR="00547D77" w:rsidRPr="001F0456">
        <w:rPr>
          <w:rFonts w:ascii="Verdana" w:hAnsi="Verdana"/>
          <w:color w:val="0C0C0C"/>
          <w:sz w:val="22"/>
          <w:szCs w:val="22"/>
          <w:u w:color="0C0C0C"/>
        </w:rPr>
        <w:t>s</w:t>
      </w:r>
      <w:r w:rsidRPr="001F0456">
        <w:rPr>
          <w:rFonts w:ascii="Verdana" w:hAnsi="Verdana"/>
          <w:color w:val="0C0C0C"/>
          <w:sz w:val="22"/>
          <w:szCs w:val="22"/>
          <w:u w:color="0C0C0C"/>
        </w:rPr>
        <w:t xml:space="preserve"> that wealthy heirs will pay no federal taxes on the first $30 million they inherit. </w:t>
      </w:r>
    </w:p>
    <w:p w14:paraId="1B71AD29" w14:textId="136C2E7F" w:rsidR="00A11840" w:rsidRPr="001F0456" w:rsidRDefault="000E4E84">
      <w:pPr>
        <w:pStyle w:val="ListParagraph"/>
        <w:numPr>
          <w:ilvl w:val="0"/>
          <w:numId w:val="6"/>
        </w:numPr>
        <w:rPr>
          <w:rFonts w:ascii="Verdana" w:hAnsi="Verdana"/>
          <w:color w:val="0C0C0C"/>
          <w:sz w:val="22"/>
          <w:szCs w:val="22"/>
        </w:rPr>
      </w:pPr>
      <w:r w:rsidRPr="001F0456">
        <w:rPr>
          <w:rFonts w:ascii="Verdana" w:hAnsi="Verdana"/>
          <w:color w:val="0C0C0C"/>
          <w:sz w:val="22"/>
          <w:szCs w:val="22"/>
          <w:u w:color="0C0C0C"/>
        </w:rPr>
        <w:t xml:space="preserve">Keeps the carried interest loophole, benefiting hedge fund managers and private equity. </w:t>
      </w:r>
    </w:p>
    <w:p w14:paraId="730CD09D" w14:textId="47880AAB" w:rsidR="00A11840" w:rsidRPr="001F0456" w:rsidRDefault="000E4E84">
      <w:pPr>
        <w:pStyle w:val="ListParagraph"/>
        <w:numPr>
          <w:ilvl w:val="0"/>
          <w:numId w:val="6"/>
        </w:numPr>
        <w:rPr>
          <w:rFonts w:ascii="Verdana" w:hAnsi="Verdana"/>
          <w:color w:val="0C0C0C"/>
          <w:sz w:val="22"/>
          <w:szCs w:val="22"/>
        </w:rPr>
      </w:pPr>
      <w:r w:rsidRPr="001F0456">
        <w:rPr>
          <w:rFonts w:ascii="Verdana" w:hAnsi="Verdana"/>
          <w:color w:val="0C0C0C"/>
          <w:sz w:val="22"/>
          <w:szCs w:val="22"/>
          <w:u w:color="0C0C0C"/>
        </w:rPr>
        <w:t>Makes the pass-through loophole perm</w:t>
      </w:r>
      <w:r w:rsidR="00547D77" w:rsidRPr="001F0456">
        <w:rPr>
          <w:rFonts w:ascii="Verdana" w:hAnsi="Verdana"/>
          <w:color w:val="0C0C0C"/>
          <w:sz w:val="22"/>
          <w:szCs w:val="22"/>
          <w:u w:color="0C0C0C"/>
        </w:rPr>
        <w:t>ane</w:t>
      </w:r>
      <w:r w:rsidRPr="001F0456">
        <w:rPr>
          <w:rFonts w:ascii="Verdana" w:hAnsi="Verdana"/>
          <w:color w:val="0C0C0C"/>
          <w:sz w:val="22"/>
          <w:szCs w:val="22"/>
          <w:u w:color="0C0C0C"/>
        </w:rPr>
        <w:t>nt, benefiting big business.</w:t>
      </w:r>
    </w:p>
    <w:p w14:paraId="5B526FF2" w14:textId="77777777" w:rsidR="00A11840" w:rsidRPr="001F0456" w:rsidRDefault="00A11840">
      <w:pPr>
        <w:pStyle w:val="Body"/>
        <w:rPr>
          <w:rFonts w:ascii="Verdana" w:eastAsia="Arial" w:hAnsi="Verdana" w:cs="Arial"/>
          <w:sz w:val="22"/>
          <w:szCs w:val="22"/>
        </w:rPr>
      </w:pPr>
    </w:p>
    <w:p w14:paraId="7510573A" w14:textId="77777777" w:rsidR="00AA497E" w:rsidRPr="001F0456" w:rsidRDefault="00AA497E">
      <w:pPr>
        <w:rPr>
          <w:rFonts w:ascii="Verdana" w:eastAsia="Aptos" w:hAnsi="Verdana" w:cs="Aptos"/>
          <w:b/>
          <w:bCs/>
          <w:color w:val="000000"/>
          <w:kern w:val="2"/>
          <w:sz w:val="22"/>
          <w:szCs w:val="22"/>
          <w:u w:color="000000"/>
          <w14:textOutline w14:w="0" w14:cap="flat" w14:cmpd="sng" w14:algn="ctr">
            <w14:noFill/>
            <w14:prstDash w14:val="solid"/>
            <w14:bevel/>
          </w14:textOutline>
        </w:rPr>
      </w:pPr>
      <w:r w:rsidRPr="001F0456">
        <w:rPr>
          <w:rFonts w:ascii="Verdana" w:hAnsi="Verdana"/>
          <w:b/>
          <w:bCs/>
          <w:sz w:val="22"/>
          <w:szCs w:val="22"/>
        </w:rPr>
        <w:br w:type="page"/>
      </w:r>
    </w:p>
    <w:p w14:paraId="45A67825" w14:textId="1BF9F2D9" w:rsidR="00C7158F" w:rsidRPr="00A770BC" w:rsidRDefault="00C7158F" w:rsidP="00C7158F">
      <w:pPr>
        <w:pStyle w:val="Body"/>
        <w:jc w:val="center"/>
        <w:rPr>
          <w:rFonts w:ascii="Frutiger 45 Light" w:eastAsia="Arial" w:hAnsi="Frutiger 45 Light" w:cs="Arial"/>
          <w:b/>
          <w:bCs/>
          <w:sz w:val="28"/>
          <w:szCs w:val="28"/>
        </w:rPr>
      </w:pPr>
      <w:r w:rsidRPr="00A770BC">
        <w:rPr>
          <w:rFonts w:ascii="Frutiger 45 Light" w:hAnsi="Frutiger 45 Light"/>
          <w:b/>
          <w:bCs/>
          <w:sz w:val="28"/>
          <w:szCs w:val="28"/>
        </w:rPr>
        <w:lastRenderedPageBreak/>
        <w:t xml:space="preserve">Key </w:t>
      </w:r>
      <w:r w:rsidR="007516F2" w:rsidRPr="00A770BC">
        <w:rPr>
          <w:rFonts w:ascii="Frutiger 45 Light" w:hAnsi="Frutiger 45 Light"/>
          <w:b/>
          <w:bCs/>
          <w:sz w:val="28"/>
          <w:szCs w:val="28"/>
        </w:rPr>
        <w:t>Healthcare and Public Health Provisions</w:t>
      </w:r>
      <w:r w:rsidR="00DF6C5D" w:rsidRPr="00A770BC">
        <w:rPr>
          <w:rFonts w:ascii="Frutiger 45 Light" w:hAnsi="Frutiger 45 Light"/>
          <w:b/>
          <w:bCs/>
          <w:sz w:val="28"/>
          <w:szCs w:val="28"/>
        </w:rPr>
        <w:t xml:space="preserve"> </w:t>
      </w:r>
      <w:r w:rsidRPr="00A770BC">
        <w:rPr>
          <w:rFonts w:ascii="Frutiger 45 Light" w:hAnsi="Frutiger 45 Light"/>
          <w:b/>
          <w:bCs/>
          <w:sz w:val="28"/>
          <w:szCs w:val="28"/>
        </w:rPr>
        <w:t>in the One Big Beautiful Bill Act</w:t>
      </w:r>
      <w:r w:rsidRPr="00A770BC" w:rsidDel="00FE3E62">
        <w:rPr>
          <w:rFonts w:ascii="Frutiger 45 Light" w:hAnsi="Frutiger 45 Light"/>
          <w:b/>
          <w:bCs/>
          <w:sz w:val="28"/>
          <w:szCs w:val="28"/>
        </w:rPr>
        <w:t xml:space="preserve"> </w:t>
      </w:r>
    </w:p>
    <w:p w14:paraId="26B39105" w14:textId="77777777" w:rsidR="00A11840" w:rsidRPr="001F0456" w:rsidRDefault="00A11840">
      <w:pPr>
        <w:pStyle w:val="Body"/>
        <w:rPr>
          <w:rFonts w:ascii="Verdana" w:eastAsia="Arial" w:hAnsi="Verdana" w:cs="Arial"/>
          <w:sz w:val="22"/>
          <w:szCs w:val="22"/>
        </w:rPr>
      </w:pPr>
    </w:p>
    <w:p w14:paraId="51CF3A24" w14:textId="74F358F6" w:rsidR="00A11840" w:rsidRPr="001F0456" w:rsidRDefault="00273E80">
      <w:pPr>
        <w:pStyle w:val="Body"/>
        <w:rPr>
          <w:rFonts w:ascii="Verdana" w:eastAsia="Arial" w:hAnsi="Verdana" w:cs="Arial"/>
          <w:sz w:val="22"/>
          <w:szCs w:val="22"/>
        </w:rPr>
      </w:pPr>
      <w:r w:rsidRPr="001F0456">
        <w:rPr>
          <w:rFonts w:ascii="Verdana" w:hAnsi="Verdana"/>
          <w:sz w:val="22"/>
          <w:szCs w:val="22"/>
        </w:rPr>
        <w:t>The law seeks to undermine the Affordable Care Act and hamstring the ability of states to support Medicaid</w:t>
      </w:r>
      <w:r w:rsidR="00547D77" w:rsidRPr="001F0456">
        <w:rPr>
          <w:rFonts w:ascii="Verdana" w:hAnsi="Verdana"/>
          <w:sz w:val="22"/>
          <w:szCs w:val="22"/>
        </w:rPr>
        <w:t>.</w:t>
      </w:r>
      <w:r w:rsidRPr="001F0456">
        <w:rPr>
          <w:rFonts w:ascii="Verdana" w:hAnsi="Verdana"/>
          <w:sz w:val="22"/>
          <w:szCs w:val="22"/>
        </w:rPr>
        <w:t xml:space="preserve"> </w:t>
      </w:r>
      <w:r w:rsidR="00547D77" w:rsidRPr="001F0456">
        <w:rPr>
          <w:rFonts w:ascii="Verdana" w:hAnsi="Verdana"/>
          <w:sz w:val="22"/>
          <w:szCs w:val="22"/>
        </w:rPr>
        <w:t>It</w:t>
      </w:r>
      <w:r w:rsidRPr="001F0456">
        <w:rPr>
          <w:rFonts w:ascii="Verdana" w:hAnsi="Verdana"/>
          <w:sz w:val="22"/>
          <w:szCs w:val="22"/>
        </w:rPr>
        <w:t xml:space="preserve"> includes stricter requirements for beneficiaries to meet to qualify </w:t>
      </w:r>
      <w:r w:rsidR="000E4E84" w:rsidRPr="001F0456">
        <w:rPr>
          <w:rFonts w:ascii="Verdana" w:hAnsi="Verdana"/>
          <w:sz w:val="22"/>
          <w:szCs w:val="22"/>
        </w:rPr>
        <w:t xml:space="preserve">for </w:t>
      </w:r>
      <w:r w:rsidRPr="001F0456">
        <w:rPr>
          <w:rFonts w:ascii="Verdana" w:hAnsi="Verdana"/>
          <w:sz w:val="22"/>
          <w:szCs w:val="22"/>
        </w:rPr>
        <w:t>and maintain enrollment in federal programs including Medicaid/</w:t>
      </w:r>
      <w:r w:rsidR="00547D77" w:rsidRPr="001F0456">
        <w:rPr>
          <w:rFonts w:ascii="Verdana" w:hAnsi="Verdana"/>
          <w:sz w:val="22"/>
          <w:szCs w:val="22"/>
        </w:rPr>
        <w:t xml:space="preserve">the </w:t>
      </w:r>
      <w:r w:rsidRPr="001F0456">
        <w:rPr>
          <w:rFonts w:ascii="Verdana" w:hAnsi="Verdana"/>
          <w:sz w:val="22"/>
          <w:szCs w:val="22"/>
        </w:rPr>
        <w:t>Children</w:t>
      </w:r>
      <w:r w:rsidR="00547D77" w:rsidRPr="001F0456">
        <w:rPr>
          <w:rFonts w:ascii="Verdana" w:hAnsi="Verdana"/>
          <w:sz w:val="22"/>
          <w:szCs w:val="22"/>
        </w:rPr>
        <w:t>’</w:t>
      </w:r>
      <w:r w:rsidRPr="001F0456">
        <w:rPr>
          <w:rFonts w:ascii="Verdana" w:hAnsi="Verdana"/>
          <w:sz w:val="22"/>
          <w:szCs w:val="22"/>
        </w:rPr>
        <w:t xml:space="preserve">s Health Insurance Program, Medicare and the Affordable Care Act. This </w:t>
      </w:r>
      <w:r w:rsidRPr="001F0456">
        <w:rPr>
          <w:rStyle w:val="Hyperlink0"/>
          <w:rFonts w:ascii="Verdana" w:hAnsi="Verdana"/>
          <w:sz w:val="22"/>
          <w:szCs w:val="22"/>
        </w:rPr>
        <w:t>document</w:t>
      </w:r>
      <w:r w:rsidRPr="001F0456">
        <w:rPr>
          <w:rFonts w:ascii="Verdana" w:hAnsi="Verdana"/>
          <w:sz w:val="22"/>
          <w:szCs w:val="22"/>
        </w:rPr>
        <w:t xml:space="preserve"> has estimates on the percentage of Medicaid funding specific states may lose. </w:t>
      </w:r>
    </w:p>
    <w:p w14:paraId="15F6624E" w14:textId="77777777" w:rsidR="00A11840" w:rsidRPr="001F0456" w:rsidRDefault="00A11840">
      <w:pPr>
        <w:pStyle w:val="Body"/>
        <w:rPr>
          <w:rFonts w:ascii="Verdana" w:eastAsia="Arial" w:hAnsi="Verdana" w:cs="Arial"/>
          <w:sz w:val="22"/>
          <w:szCs w:val="22"/>
        </w:rPr>
      </w:pPr>
    </w:p>
    <w:tbl>
      <w:tblPr>
        <w:tblStyle w:val="TableGrid"/>
        <w:tblW w:w="0" w:type="auto"/>
        <w:jc w:val="center"/>
        <w:tblLook w:val="04A0" w:firstRow="1" w:lastRow="0" w:firstColumn="1" w:lastColumn="0" w:noHBand="0" w:noVBand="1"/>
      </w:tblPr>
      <w:tblGrid>
        <w:gridCol w:w="9350"/>
      </w:tblGrid>
      <w:tr w:rsidR="001F0456" w:rsidRPr="001F0456" w14:paraId="6CDCB68C" w14:textId="77777777" w:rsidTr="009D6C22">
        <w:trPr>
          <w:trHeight w:val="575"/>
          <w:jc w:val="center"/>
        </w:trPr>
        <w:tc>
          <w:tcPr>
            <w:tcW w:w="9350" w:type="dxa"/>
            <w:tcBorders>
              <w:bottom w:val="single" w:sz="4" w:space="0" w:color="auto"/>
            </w:tcBorders>
            <w:shd w:val="clear" w:color="auto" w:fill="0F4761" w:themeFill="accent1" w:themeFillShade="BF"/>
            <w:vAlign w:val="center"/>
          </w:tcPr>
          <w:p w14:paraId="08FCFF59" w14:textId="77777777" w:rsidR="001F0456" w:rsidRPr="001F0456" w:rsidRDefault="001F0456" w:rsidP="00D17A4D">
            <w:pPr>
              <w:pStyle w:val="Body"/>
              <w:rPr>
                <w:rFonts w:ascii="Verdana" w:eastAsia="Arial" w:hAnsi="Verdana" w:cs="Arial"/>
                <w:b/>
                <w:bCs/>
                <w:sz w:val="22"/>
                <w:szCs w:val="22"/>
              </w:rPr>
            </w:pPr>
            <w:r w:rsidRPr="001F0456">
              <w:rPr>
                <w:rFonts w:ascii="Verdana" w:hAnsi="Verdana"/>
                <w:b/>
                <w:bCs/>
                <w:color w:val="FFFFFF" w:themeColor="background1"/>
                <w:sz w:val="22"/>
                <w:szCs w:val="22"/>
              </w:rPr>
              <w:t>What it means for AFT members:</w:t>
            </w:r>
          </w:p>
        </w:tc>
      </w:tr>
      <w:tr w:rsidR="001F0456" w:rsidRPr="001F0456" w14:paraId="33DFD430" w14:textId="77777777" w:rsidTr="009D6C22">
        <w:trPr>
          <w:trHeight w:val="1970"/>
          <w:jc w:val="center"/>
        </w:trPr>
        <w:tc>
          <w:tcPr>
            <w:tcW w:w="9350" w:type="dxa"/>
            <w:tcBorders>
              <w:bottom w:val="nil"/>
            </w:tcBorders>
            <w:vAlign w:val="center"/>
          </w:tcPr>
          <w:p w14:paraId="6A54020E" w14:textId="77777777" w:rsidR="001F0456" w:rsidRPr="001F0456" w:rsidRDefault="001F0456" w:rsidP="00D17A4D">
            <w:pPr>
              <w:pStyle w:val="ListParagraph"/>
              <w:numPr>
                <w:ilvl w:val="0"/>
                <w:numId w:val="8"/>
              </w:numPr>
              <w:spacing w:before="100" w:after="100"/>
              <w:rPr>
                <w:rFonts w:ascii="Verdana" w:hAnsi="Verdana"/>
                <w:color w:val="212121"/>
                <w:sz w:val="22"/>
                <w:szCs w:val="22"/>
              </w:rPr>
            </w:pPr>
            <w:r w:rsidRPr="001F0456">
              <w:rPr>
                <w:rFonts w:ascii="Verdana" w:hAnsi="Verdana"/>
                <w:color w:val="212121"/>
                <w:kern w:val="0"/>
                <w:sz w:val="22"/>
                <w:szCs w:val="22"/>
                <w:u w:color="212121"/>
              </w:rPr>
              <w:t xml:space="preserve">AFT members work to improve the lives of their students, patients and communities by focusing on the basics people need to thrive. This includes working for accessible healthcare and a robust public health infrastructure. Under this law, more than 13 million Americans will lose healthcare coverage, we could all potentially have increased out-of-pocket costs, and thousands of people could die because they do not have access to medical care. </w:t>
            </w:r>
          </w:p>
        </w:tc>
      </w:tr>
      <w:tr w:rsidR="001F0456" w:rsidRPr="001F0456" w14:paraId="11120AAB" w14:textId="77777777" w:rsidTr="009D6C22">
        <w:trPr>
          <w:trHeight w:val="900"/>
          <w:jc w:val="center"/>
        </w:trPr>
        <w:tc>
          <w:tcPr>
            <w:tcW w:w="9350" w:type="dxa"/>
            <w:tcBorders>
              <w:top w:val="nil"/>
              <w:bottom w:val="nil"/>
            </w:tcBorders>
            <w:vAlign w:val="center"/>
          </w:tcPr>
          <w:p w14:paraId="2CDC0E01" w14:textId="77777777" w:rsidR="001F0456" w:rsidRPr="001F0456" w:rsidRDefault="001F0456" w:rsidP="00D17A4D">
            <w:pPr>
              <w:pStyle w:val="ListParagraph"/>
              <w:numPr>
                <w:ilvl w:val="0"/>
                <w:numId w:val="8"/>
              </w:numPr>
              <w:spacing w:before="100" w:after="100"/>
              <w:rPr>
                <w:rFonts w:ascii="Verdana" w:hAnsi="Verdana"/>
                <w:color w:val="212121"/>
                <w:sz w:val="22"/>
                <w:szCs w:val="22"/>
              </w:rPr>
            </w:pPr>
            <w:r w:rsidRPr="001F0456">
              <w:rPr>
                <w:rFonts w:ascii="Verdana" w:hAnsi="Verdana"/>
                <w:color w:val="212121"/>
                <w:kern w:val="0"/>
                <w:sz w:val="22"/>
                <w:szCs w:val="22"/>
                <w:u w:color="212121"/>
              </w:rPr>
              <w:t xml:space="preserve">This will affect our students, patients and communities, as well as AFT members receiving healthcare through Medicaid or the ACA.   </w:t>
            </w:r>
          </w:p>
        </w:tc>
      </w:tr>
      <w:tr w:rsidR="001F0456" w:rsidRPr="001F0456" w14:paraId="55DCAC8A" w14:textId="77777777" w:rsidTr="009D6C22">
        <w:trPr>
          <w:jc w:val="center"/>
        </w:trPr>
        <w:tc>
          <w:tcPr>
            <w:tcW w:w="9350" w:type="dxa"/>
            <w:tcBorders>
              <w:top w:val="nil"/>
              <w:bottom w:val="nil"/>
            </w:tcBorders>
            <w:vAlign w:val="center"/>
          </w:tcPr>
          <w:p w14:paraId="7C2FEE7A" w14:textId="77777777" w:rsidR="001F0456" w:rsidRPr="001F0456" w:rsidRDefault="001F0456" w:rsidP="00D17A4D">
            <w:pPr>
              <w:pStyle w:val="ListParagraph"/>
              <w:numPr>
                <w:ilvl w:val="0"/>
                <w:numId w:val="8"/>
              </w:numPr>
              <w:spacing w:before="100" w:after="100"/>
              <w:rPr>
                <w:rFonts w:ascii="Verdana" w:hAnsi="Verdana"/>
                <w:color w:val="212121"/>
                <w:sz w:val="22"/>
                <w:szCs w:val="22"/>
              </w:rPr>
            </w:pPr>
            <w:r w:rsidRPr="001F0456">
              <w:rPr>
                <w:rFonts w:ascii="Verdana" w:hAnsi="Verdana"/>
                <w:color w:val="212121"/>
                <w:kern w:val="0"/>
                <w:sz w:val="22"/>
                <w:szCs w:val="22"/>
                <w:u w:color="212121"/>
              </w:rPr>
              <w:t xml:space="preserve">Cuts to Medicaid </w:t>
            </w:r>
            <w:r w:rsidRPr="001F0456">
              <w:rPr>
                <w:rFonts w:ascii="Verdana" w:hAnsi="Verdana"/>
                <w:color w:val="212121"/>
                <w:sz w:val="22"/>
                <w:szCs w:val="22"/>
                <w:u w:color="212121"/>
              </w:rPr>
              <w:t xml:space="preserve">and the ACA </w:t>
            </w:r>
            <w:r w:rsidRPr="001F0456">
              <w:rPr>
                <w:rFonts w:ascii="Verdana" w:hAnsi="Verdana"/>
                <w:color w:val="212121"/>
                <w:kern w:val="0"/>
                <w:sz w:val="22"/>
                <w:szCs w:val="22"/>
                <w:u w:color="212121"/>
              </w:rPr>
              <w:t xml:space="preserve">will likely force many hospitals </w:t>
            </w:r>
            <w:bookmarkStart w:id="0" w:name="_Int_BDSfwF7C"/>
            <w:r w:rsidRPr="001F0456">
              <w:rPr>
                <w:rFonts w:ascii="Verdana" w:hAnsi="Verdana"/>
                <w:color w:val="212121"/>
                <w:kern w:val="0"/>
                <w:sz w:val="22"/>
                <w:szCs w:val="22"/>
                <w:u w:color="212121"/>
              </w:rPr>
              <w:t>to close</w:t>
            </w:r>
            <w:bookmarkEnd w:id="0"/>
            <w:r w:rsidRPr="001F0456">
              <w:rPr>
                <w:rFonts w:ascii="Verdana" w:hAnsi="Verdana"/>
                <w:color w:val="212121"/>
                <w:kern w:val="0"/>
                <w:sz w:val="22"/>
                <w:szCs w:val="22"/>
                <w:u w:color="212121"/>
              </w:rPr>
              <w:t xml:space="preserve"> or reduce services where AFT members live and work.</w:t>
            </w:r>
          </w:p>
        </w:tc>
      </w:tr>
      <w:tr w:rsidR="001F0456" w:rsidRPr="001F0456" w14:paraId="1AC8AC33" w14:textId="77777777" w:rsidTr="009D6C22">
        <w:trPr>
          <w:trHeight w:val="990"/>
          <w:jc w:val="center"/>
        </w:trPr>
        <w:tc>
          <w:tcPr>
            <w:tcW w:w="9350" w:type="dxa"/>
            <w:tcBorders>
              <w:top w:val="nil"/>
              <w:bottom w:val="nil"/>
            </w:tcBorders>
            <w:vAlign w:val="center"/>
          </w:tcPr>
          <w:p w14:paraId="0DD40B78" w14:textId="77777777" w:rsidR="001F0456" w:rsidRPr="001F0456" w:rsidRDefault="001F0456" w:rsidP="00D17A4D">
            <w:pPr>
              <w:pStyle w:val="ListParagraph"/>
              <w:numPr>
                <w:ilvl w:val="0"/>
                <w:numId w:val="8"/>
              </w:numPr>
              <w:rPr>
                <w:rFonts w:ascii="Verdana" w:hAnsi="Verdana"/>
                <w:color w:val="212121"/>
                <w:sz w:val="22"/>
                <w:szCs w:val="22"/>
              </w:rPr>
            </w:pPr>
            <w:r w:rsidRPr="001F0456">
              <w:rPr>
                <w:rFonts w:ascii="Verdana" w:hAnsi="Verdana"/>
                <w:color w:val="212121"/>
                <w:sz w:val="22"/>
                <w:szCs w:val="22"/>
                <w:u w:color="212121"/>
              </w:rPr>
              <w:t>Hospitals facing increased uncompensated care may fire our members, which could lead not just to individual crises but also to increased workplace violence and other challenges due to understaffing for those who are still employed.</w:t>
            </w:r>
          </w:p>
        </w:tc>
      </w:tr>
      <w:tr w:rsidR="001F0456" w:rsidRPr="001F0456" w14:paraId="7A762BBD" w14:textId="77777777" w:rsidTr="009D6C22">
        <w:trPr>
          <w:trHeight w:val="720"/>
          <w:jc w:val="center"/>
        </w:trPr>
        <w:tc>
          <w:tcPr>
            <w:tcW w:w="9350" w:type="dxa"/>
            <w:tcBorders>
              <w:top w:val="nil"/>
              <w:bottom w:val="nil"/>
            </w:tcBorders>
            <w:vAlign w:val="center"/>
          </w:tcPr>
          <w:p w14:paraId="1F82DD72" w14:textId="77777777" w:rsidR="001F0456" w:rsidRPr="001F0456" w:rsidRDefault="001F0456" w:rsidP="00D17A4D">
            <w:pPr>
              <w:pStyle w:val="ListParagraph"/>
              <w:numPr>
                <w:ilvl w:val="0"/>
                <w:numId w:val="8"/>
              </w:numPr>
              <w:rPr>
                <w:rFonts w:ascii="Verdana" w:hAnsi="Verdana"/>
                <w:color w:val="212121"/>
                <w:sz w:val="22"/>
                <w:szCs w:val="22"/>
              </w:rPr>
            </w:pPr>
            <w:r w:rsidRPr="001F0456">
              <w:rPr>
                <w:rFonts w:ascii="Verdana" w:hAnsi="Verdana"/>
                <w:color w:val="212121"/>
                <w:sz w:val="22"/>
                <w:szCs w:val="22"/>
                <w:u w:color="212121"/>
              </w:rPr>
              <w:t>Employers may use the specter of lower revenue to make unfair demands at the bargaining table.</w:t>
            </w:r>
          </w:p>
        </w:tc>
      </w:tr>
      <w:tr w:rsidR="001F0456" w:rsidRPr="001F0456" w14:paraId="11BEA13F" w14:textId="77777777" w:rsidTr="009D6C22">
        <w:trPr>
          <w:trHeight w:val="1620"/>
          <w:jc w:val="center"/>
        </w:trPr>
        <w:tc>
          <w:tcPr>
            <w:tcW w:w="9350" w:type="dxa"/>
            <w:tcBorders>
              <w:top w:val="nil"/>
              <w:bottom w:val="nil"/>
            </w:tcBorders>
            <w:vAlign w:val="center"/>
          </w:tcPr>
          <w:p w14:paraId="2278DCE2" w14:textId="77777777" w:rsidR="001F0456" w:rsidRPr="001F0456" w:rsidRDefault="001F0456" w:rsidP="00D17A4D">
            <w:pPr>
              <w:pStyle w:val="ListParagraph"/>
              <w:numPr>
                <w:ilvl w:val="0"/>
                <w:numId w:val="8"/>
              </w:numPr>
              <w:rPr>
                <w:rFonts w:ascii="Verdana" w:hAnsi="Verdana"/>
                <w:sz w:val="22"/>
                <w:szCs w:val="22"/>
              </w:rPr>
            </w:pPr>
            <w:r w:rsidRPr="001F0456">
              <w:rPr>
                <w:rFonts w:ascii="Verdana" w:hAnsi="Verdana"/>
                <w:sz w:val="22"/>
                <w:szCs w:val="22"/>
              </w:rPr>
              <w:t>Since Medicaid reimbursements help fund the salaries of school-based health staff in many instances, the law potentially endangers the jobs of AFT school psychologists; counselors; social workers; speech pathologists; school nurses; and occupational, physical and other therapists, depending on how states respond to lost Medicaid funding.</w:t>
            </w:r>
          </w:p>
        </w:tc>
      </w:tr>
      <w:tr w:rsidR="001F0456" w:rsidRPr="001F0456" w14:paraId="07744E09" w14:textId="77777777" w:rsidTr="009D6C22">
        <w:trPr>
          <w:trHeight w:val="1080"/>
          <w:jc w:val="center"/>
        </w:trPr>
        <w:tc>
          <w:tcPr>
            <w:tcW w:w="9350" w:type="dxa"/>
            <w:tcBorders>
              <w:top w:val="nil"/>
              <w:bottom w:val="nil"/>
            </w:tcBorders>
            <w:vAlign w:val="center"/>
          </w:tcPr>
          <w:p w14:paraId="593CAAE1" w14:textId="77777777" w:rsidR="001F0456" w:rsidRPr="001F0456" w:rsidRDefault="001F0456" w:rsidP="00D17A4D">
            <w:pPr>
              <w:pStyle w:val="ListParagraph"/>
              <w:numPr>
                <w:ilvl w:val="0"/>
                <w:numId w:val="8"/>
              </w:numPr>
              <w:rPr>
                <w:rFonts w:ascii="Verdana" w:hAnsi="Verdana" w:cs="Arial"/>
                <w:sz w:val="22"/>
                <w:szCs w:val="22"/>
              </w:rPr>
            </w:pPr>
            <w:r w:rsidRPr="001F0456">
              <w:rPr>
                <w:rFonts w:ascii="Verdana" w:hAnsi="Verdana"/>
                <w:sz w:val="22"/>
                <w:szCs w:val="22"/>
              </w:rPr>
              <w:t xml:space="preserve">The law may reduce access to Medicaid-funded long-term care for our members in states with high home costs. </w:t>
            </w:r>
            <w:r w:rsidRPr="001F0456">
              <w:rPr>
                <w:rFonts w:ascii="Verdana" w:hAnsi="Verdana" w:cs="Arial"/>
                <w:sz w:val="22"/>
                <w:szCs w:val="22"/>
              </w:rPr>
              <w:t>T</w:t>
            </w:r>
            <w:r w:rsidRPr="001F0456">
              <w:rPr>
                <w:rFonts w:ascii="Verdana" w:eastAsia="Source Sans Pro" w:hAnsi="Verdana" w:cs="Arial"/>
                <w:color w:val="333333"/>
                <w:sz w:val="22"/>
                <w:szCs w:val="22"/>
                <w:u w:color="333333"/>
              </w:rPr>
              <w:t xml:space="preserve">he maximum home equity limits are frozen at $1,000,000 regardless of inflation </w:t>
            </w:r>
            <w:r w:rsidRPr="001F0456">
              <w:rPr>
                <w:rFonts w:ascii="Verdana" w:hAnsi="Verdana" w:cs="Arial"/>
                <w:sz w:val="22"/>
                <w:szCs w:val="22"/>
              </w:rPr>
              <w:t xml:space="preserve">(begins </w:t>
            </w:r>
            <w:r w:rsidRPr="001F0456">
              <w:rPr>
                <w:rFonts w:ascii="Verdana" w:eastAsia="Source Sans Pro" w:hAnsi="Verdana" w:cs="Arial"/>
                <w:color w:val="333333"/>
                <w:sz w:val="22"/>
                <w:szCs w:val="22"/>
                <w:u w:color="333333"/>
              </w:rPr>
              <w:t>Jan. 1, 2028).</w:t>
            </w:r>
          </w:p>
        </w:tc>
      </w:tr>
      <w:tr w:rsidR="001F0456" w:rsidRPr="001F0456" w14:paraId="70EFD42A" w14:textId="77777777" w:rsidTr="009D6C22">
        <w:trPr>
          <w:jc w:val="center"/>
        </w:trPr>
        <w:tc>
          <w:tcPr>
            <w:tcW w:w="9350" w:type="dxa"/>
            <w:tcBorders>
              <w:top w:val="nil"/>
            </w:tcBorders>
            <w:vAlign w:val="center"/>
          </w:tcPr>
          <w:p w14:paraId="13E27003" w14:textId="77777777" w:rsidR="001F0456" w:rsidRPr="001F0456" w:rsidRDefault="001F0456" w:rsidP="00D17A4D">
            <w:pPr>
              <w:pStyle w:val="ListParagraph"/>
              <w:numPr>
                <w:ilvl w:val="0"/>
                <w:numId w:val="10"/>
              </w:numPr>
              <w:rPr>
                <w:rFonts w:ascii="Verdana" w:hAnsi="Verdana"/>
                <w:sz w:val="22"/>
                <w:szCs w:val="22"/>
              </w:rPr>
            </w:pPr>
            <w:r w:rsidRPr="001F0456">
              <w:rPr>
                <w:rFonts w:ascii="Verdana" w:hAnsi="Verdana"/>
                <w:color w:val="212121"/>
                <w:sz w:val="22"/>
                <w:szCs w:val="22"/>
                <w:u w:color="212121"/>
              </w:rPr>
              <w:t xml:space="preserve">The law will trigger more than $500 billion in automatic cuts to Medicare if Congress does not take action later this year. While Congress has not let these types of automatic cuts happen to Medicare in the past, if they do happen, they could lead to more uncompensated care and affect AFT retirees. </w:t>
            </w:r>
          </w:p>
        </w:tc>
      </w:tr>
    </w:tbl>
    <w:p w14:paraId="0E8F2A6F" w14:textId="77777777" w:rsidR="00575741" w:rsidRDefault="00575741">
      <w:pPr>
        <w:pStyle w:val="Body"/>
        <w:rPr>
          <w:rFonts w:ascii="Frutiger 45 Light" w:hAnsi="Frutiger 45 Light"/>
          <w:b/>
          <w:bCs/>
          <w:sz w:val="28"/>
          <w:szCs w:val="28"/>
        </w:rPr>
      </w:pPr>
    </w:p>
    <w:p w14:paraId="473D1A7F" w14:textId="77777777" w:rsidR="009D6C22" w:rsidRDefault="009D6C22">
      <w:pPr>
        <w:rPr>
          <w:rFonts w:ascii="Frutiger 45 Light" w:eastAsia="Aptos" w:hAnsi="Frutiger 45 Light" w:cs="Aptos"/>
          <w:b/>
          <w:bCs/>
          <w:color w:val="000000"/>
          <w:kern w:val="2"/>
          <w:sz w:val="28"/>
          <w:szCs w:val="28"/>
          <w:u w:color="000000"/>
          <w14:textOutline w14:w="0" w14:cap="flat" w14:cmpd="sng" w14:algn="ctr">
            <w14:noFill/>
            <w14:prstDash w14:val="solid"/>
            <w14:bevel/>
          </w14:textOutline>
        </w:rPr>
      </w:pPr>
      <w:r>
        <w:rPr>
          <w:rFonts w:ascii="Frutiger 45 Light" w:hAnsi="Frutiger 45 Light"/>
          <w:b/>
          <w:bCs/>
          <w:sz w:val="28"/>
          <w:szCs w:val="28"/>
        </w:rPr>
        <w:br w:type="page"/>
      </w:r>
    </w:p>
    <w:p w14:paraId="1D38F7ED" w14:textId="408B9E1A" w:rsidR="00A11840" w:rsidRPr="00A770BC" w:rsidRDefault="00273E80">
      <w:pPr>
        <w:pStyle w:val="Body"/>
        <w:rPr>
          <w:rFonts w:ascii="Frutiger 45 Light" w:hAnsi="Frutiger 45 Light"/>
          <w:b/>
          <w:bCs/>
          <w:sz w:val="28"/>
          <w:szCs w:val="28"/>
        </w:rPr>
      </w:pPr>
      <w:r w:rsidRPr="00A770BC">
        <w:rPr>
          <w:rFonts w:ascii="Frutiger 45 Light" w:hAnsi="Frutiger 45 Light"/>
          <w:b/>
          <w:bCs/>
          <w:sz w:val="28"/>
          <w:szCs w:val="28"/>
        </w:rPr>
        <w:lastRenderedPageBreak/>
        <w:t>Health</w:t>
      </w:r>
      <w:r w:rsidR="00C546B0" w:rsidRPr="00A770BC">
        <w:rPr>
          <w:rFonts w:ascii="Frutiger 45 Light" w:hAnsi="Frutiger 45 Light"/>
          <w:b/>
          <w:bCs/>
          <w:sz w:val="28"/>
          <w:szCs w:val="28"/>
        </w:rPr>
        <w:t>c</w:t>
      </w:r>
      <w:r w:rsidRPr="00A770BC">
        <w:rPr>
          <w:rFonts w:ascii="Frutiger 45 Light" w:hAnsi="Frutiger 45 Light"/>
          <w:b/>
          <w:bCs/>
          <w:sz w:val="28"/>
          <w:szCs w:val="28"/>
        </w:rPr>
        <w:t xml:space="preserve">are </w:t>
      </w:r>
      <w:r w:rsidR="009B5933" w:rsidRPr="00A770BC">
        <w:rPr>
          <w:rFonts w:ascii="Frutiger 45 Light" w:hAnsi="Frutiger 45 Light"/>
          <w:b/>
          <w:bCs/>
          <w:sz w:val="28"/>
          <w:szCs w:val="28"/>
        </w:rPr>
        <w:t>p</w:t>
      </w:r>
      <w:r w:rsidRPr="00A770BC">
        <w:rPr>
          <w:rFonts w:ascii="Frutiger 45 Light" w:hAnsi="Frutiger 45 Light"/>
          <w:b/>
          <w:bCs/>
          <w:sz w:val="28"/>
          <w:szCs w:val="28"/>
        </w:rPr>
        <w:t>rovisions</w:t>
      </w:r>
      <w:r w:rsidR="009B5933" w:rsidRPr="00A770BC">
        <w:rPr>
          <w:rFonts w:ascii="Frutiger 45 Light" w:hAnsi="Frutiger 45 Light"/>
          <w:b/>
          <w:bCs/>
          <w:sz w:val="28"/>
          <w:szCs w:val="28"/>
        </w:rPr>
        <w:t>:</w:t>
      </w:r>
    </w:p>
    <w:p w14:paraId="52324154" w14:textId="77777777" w:rsidR="000F087C" w:rsidRPr="001F0456" w:rsidRDefault="000F087C">
      <w:pPr>
        <w:pStyle w:val="Body"/>
        <w:rPr>
          <w:rFonts w:ascii="Verdana" w:hAnsi="Verdana"/>
          <w:sz w:val="22"/>
          <w:szCs w:val="22"/>
        </w:rPr>
      </w:pPr>
    </w:p>
    <w:p w14:paraId="2D8BF1AD" w14:textId="4F6B8CEB"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 xml:space="preserve">Freezes provider tax rates for non-expansion states and gradually reduces the provider tax rate for expansion states to 3.5 percent by </w:t>
      </w:r>
      <w:r w:rsidR="00C546B0" w:rsidRPr="001F0456">
        <w:rPr>
          <w:rFonts w:ascii="Verdana" w:hAnsi="Verdana"/>
          <w:sz w:val="22"/>
          <w:szCs w:val="22"/>
        </w:rPr>
        <w:t xml:space="preserve">fiscal year </w:t>
      </w:r>
      <w:r w:rsidRPr="001F0456">
        <w:rPr>
          <w:rFonts w:ascii="Verdana" w:hAnsi="Verdana"/>
          <w:sz w:val="22"/>
          <w:szCs w:val="22"/>
        </w:rPr>
        <w:t xml:space="preserve">2032 (begins in 2028). This policy will result in significantly lower revenue for states. This </w:t>
      </w:r>
      <w:r w:rsidRPr="001F0456">
        <w:rPr>
          <w:rStyle w:val="Link"/>
          <w:rFonts w:ascii="Verdana" w:hAnsi="Verdana"/>
          <w:sz w:val="22"/>
          <w:szCs w:val="22"/>
        </w:rPr>
        <w:t>document</w:t>
      </w:r>
      <w:r w:rsidRPr="001F0456">
        <w:rPr>
          <w:rFonts w:ascii="Verdana" w:hAnsi="Verdana"/>
          <w:sz w:val="22"/>
          <w:szCs w:val="22"/>
        </w:rPr>
        <w:t xml:space="preserve"> includes state information on the provider taxes.</w:t>
      </w:r>
    </w:p>
    <w:p w14:paraId="6CC344A0" w14:textId="7AE6A33F"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Lowers the cap on state</w:t>
      </w:r>
      <w:r w:rsidR="00C546B0" w:rsidRPr="001F0456">
        <w:rPr>
          <w:rFonts w:ascii="Verdana" w:hAnsi="Verdana"/>
          <w:sz w:val="22"/>
          <w:szCs w:val="22"/>
        </w:rPr>
        <w:t>-</w:t>
      </w:r>
      <w:r w:rsidRPr="001F0456">
        <w:rPr>
          <w:rFonts w:ascii="Verdana" w:hAnsi="Verdana"/>
          <w:sz w:val="22"/>
          <w:szCs w:val="22"/>
        </w:rPr>
        <w:t>directed payments for inpatient hospital and nursing facility services to 100</w:t>
      </w:r>
      <w:r w:rsidR="00C546B0" w:rsidRPr="001F0456">
        <w:rPr>
          <w:rFonts w:ascii="Verdana" w:hAnsi="Verdana"/>
          <w:sz w:val="22"/>
          <w:szCs w:val="22"/>
        </w:rPr>
        <w:t xml:space="preserve"> percent</w:t>
      </w:r>
      <w:r w:rsidRPr="001F0456">
        <w:rPr>
          <w:rFonts w:ascii="Verdana" w:hAnsi="Verdana"/>
          <w:sz w:val="22"/>
          <w:szCs w:val="22"/>
        </w:rPr>
        <w:t xml:space="preserve"> of Medicare rates in expansion states and 110</w:t>
      </w:r>
      <w:r w:rsidR="00C546B0" w:rsidRPr="001F0456">
        <w:rPr>
          <w:rFonts w:ascii="Verdana" w:hAnsi="Verdana"/>
          <w:sz w:val="22"/>
          <w:szCs w:val="22"/>
        </w:rPr>
        <w:t xml:space="preserve"> percent</w:t>
      </w:r>
      <w:r w:rsidRPr="001F0456">
        <w:rPr>
          <w:rFonts w:ascii="Verdana" w:hAnsi="Verdana"/>
          <w:sz w:val="22"/>
          <w:szCs w:val="22"/>
        </w:rPr>
        <w:t xml:space="preserve"> in non-expansion states (begins in 2028).</w:t>
      </w:r>
    </w:p>
    <w:p w14:paraId="1A2C929B" w14:textId="59A70A22"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 xml:space="preserve">Conditions Medicaid eligibility on beneficiaries working or engaging in qualifying activities at least 80 hours per month, except for parents with dependent children 14 and under (begins in 2027). Where these requirements have been tried, they have led to people losing healthcare but </w:t>
      </w:r>
      <w:r w:rsidR="00C546B0" w:rsidRPr="001F0456">
        <w:rPr>
          <w:rFonts w:ascii="Verdana" w:hAnsi="Verdana"/>
          <w:sz w:val="22"/>
          <w:szCs w:val="22"/>
        </w:rPr>
        <w:t xml:space="preserve">have </w:t>
      </w:r>
      <w:r w:rsidRPr="001F0456">
        <w:rPr>
          <w:rFonts w:ascii="Verdana" w:hAnsi="Verdana"/>
          <w:sz w:val="22"/>
          <w:szCs w:val="22"/>
        </w:rPr>
        <w:t>no</w:t>
      </w:r>
      <w:r w:rsidR="00C546B0" w:rsidRPr="001F0456">
        <w:rPr>
          <w:rFonts w:ascii="Verdana" w:hAnsi="Verdana"/>
          <w:sz w:val="22"/>
          <w:szCs w:val="22"/>
        </w:rPr>
        <w:t>t led to</w:t>
      </w:r>
      <w:r w:rsidRPr="001F0456">
        <w:rPr>
          <w:rFonts w:ascii="Verdana" w:hAnsi="Verdana"/>
          <w:sz w:val="22"/>
          <w:szCs w:val="22"/>
        </w:rPr>
        <w:t xml:space="preserve"> </w:t>
      </w:r>
      <w:r w:rsidR="00C546B0" w:rsidRPr="001F0456">
        <w:rPr>
          <w:rFonts w:ascii="Verdana" w:hAnsi="Verdana"/>
          <w:sz w:val="22"/>
          <w:szCs w:val="22"/>
        </w:rPr>
        <w:t xml:space="preserve">an </w:t>
      </w:r>
      <w:r w:rsidRPr="001F0456">
        <w:rPr>
          <w:rFonts w:ascii="Verdana" w:hAnsi="Verdana"/>
          <w:sz w:val="22"/>
          <w:szCs w:val="22"/>
        </w:rPr>
        <w:t>increase in employment. This policy creates the most healthcare savings in the law by ensuring that red</w:t>
      </w:r>
      <w:r w:rsidR="00C546B0" w:rsidRPr="001F0456">
        <w:rPr>
          <w:rFonts w:ascii="Verdana" w:hAnsi="Verdana"/>
          <w:sz w:val="22"/>
          <w:szCs w:val="22"/>
        </w:rPr>
        <w:t>-</w:t>
      </w:r>
      <w:r w:rsidRPr="001F0456">
        <w:rPr>
          <w:rFonts w:ascii="Verdana" w:hAnsi="Verdana"/>
          <w:sz w:val="22"/>
          <w:szCs w:val="22"/>
        </w:rPr>
        <w:t>tap</w:t>
      </w:r>
      <w:r w:rsidR="00C546B0" w:rsidRPr="001F0456">
        <w:rPr>
          <w:rFonts w:ascii="Verdana" w:hAnsi="Verdana"/>
          <w:sz w:val="22"/>
          <w:szCs w:val="22"/>
        </w:rPr>
        <w:t>e</w:t>
      </w:r>
      <w:r w:rsidRPr="001F0456">
        <w:rPr>
          <w:rFonts w:ascii="Verdana" w:hAnsi="Verdana"/>
          <w:sz w:val="22"/>
          <w:szCs w:val="22"/>
        </w:rPr>
        <w:t xml:space="preserve"> reporting requirements </w:t>
      </w:r>
      <w:r w:rsidR="00C546B0" w:rsidRPr="001F0456">
        <w:rPr>
          <w:rFonts w:ascii="Verdana" w:hAnsi="Verdana"/>
          <w:sz w:val="22"/>
          <w:szCs w:val="22"/>
        </w:rPr>
        <w:t xml:space="preserve">cause </w:t>
      </w:r>
      <w:r w:rsidRPr="001F0456">
        <w:rPr>
          <w:rFonts w:ascii="Verdana" w:hAnsi="Verdana"/>
          <w:sz w:val="22"/>
          <w:szCs w:val="22"/>
        </w:rPr>
        <w:t xml:space="preserve">people </w:t>
      </w:r>
      <w:r w:rsidR="00C546B0" w:rsidRPr="001F0456">
        <w:rPr>
          <w:rFonts w:ascii="Verdana" w:hAnsi="Verdana"/>
          <w:sz w:val="22"/>
          <w:szCs w:val="22"/>
        </w:rPr>
        <w:t xml:space="preserve">to </w:t>
      </w:r>
      <w:r w:rsidRPr="001F0456">
        <w:rPr>
          <w:rFonts w:ascii="Verdana" w:hAnsi="Verdana"/>
          <w:sz w:val="22"/>
          <w:szCs w:val="22"/>
        </w:rPr>
        <w:t>los</w:t>
      </w:r>
      <w:r w:rsidR="00C546B0" w:rsidRPr="001F0456">
        <w:rPr>
          <w:rFonts w:ascii="Verdana" w:hAnsi="Verdana"/>
          <w:sz w:val="22"/>
          <w:szCs w:val="22"/>
        </w:rPr>
        <w:t>e</w:t>
      </w:r>
      <w:r w:rsidRPr="001F0456">
        <w:rPr>
          <w:rFonts w:ascii="Verdana" w:hAnsi="Verdana"/>
          <w:sz w:val="22"/>
          <w:szCs w:val="22"/>
        </w:rPr>
        <w:t xml:space="preserve"> healthcare</w:t>
      </w:r>
      <w:r w:rsidR="00C546B0" w:rsidRPr="001F0456">
        <w:rPr>
          <w:rFonts w:ascii="Verdana" w:hAnsi="Verdana"/>
          <w:sz w:val="22"/>
          <w:szCs w:val="22"/>
        </w:rPr>
        <w:t>.</w:t>
      </w:r>
      <w:r w:rsidRPr="001F0456">
        <w:rPr>
          <w:rFonts w:ascii="Verdana" w:hAnsi="Verdana"/>
          <w:sz w:val="22"/>
          <w:szCs w:val="22"/>
        </w:rPr>
        <w:t xml:space="preserve"> </w:t>
      </w:r>
      <w:r w:rsidR="00C546B0" w:rsidRPr="001F0456">
        <w:rPr>
          <w:rFonts w:ascii="Verdana" w:hAnsi="Verdana"/>
          <w:sz w:val="22"/>
          <w:szCs w:val="22"/>
        </w:rPr>
        <w:t>T</w:t>
      </w:r>
      <w:r w:rsidRPr="001F0456">
        <w:rPr>
          <w:rFonts w:ascii="Verdana" w:hAnsi="Verdana"/>
          <w:sz w:val="22"/>
          <w:szCs w:val="22"/>
        </w:rPr>
        <w:t>his will include individuals who are working in the gig economy or have mental or physical challenges. Research also shows that when parents lose their healthcare eligibility, their children may do so as well, despite being qualified for healthcare on their own.</w:t>
      </w:r>
    </w:p>
    <w:p w14:paraId="3B010E1D" w14:textId="47EB4384"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Increases eligibility checks and red</w:t>
      </w:r>
      <w:r w:rsidR="00C546B0" w:rsidRPr="001F0456">
        <w:rPr>
          <w:rFonts w:ascii="Verdana" w:hAnsi="Verdana"/>
          <w:sz w:val="22"/>
          <w:szCs w:val="22"/>
        </w:rPr>
        <w:t xml:space="preserve"> </w:t>
      </w:r>
      <w:r w:rsidRPr="001F0456">
        <w:rPr>
          <w:rFonts w:ascii="Verdana" w:hAnsi="Verdana"/>
          <w:sz w:val="22"/>
          <w:szCs w:val="22"/>
        </w:rPr>
        <w:t xml:space="preserve">tape around enrolling in </w:t>
      </w:r>
      <w:r w:rsidR="00C546B0" w:rsidRPr="001F0456">
        <w:rPr>
          <w:rFonts w:ascii="Verdana" w:hAnsi="Verdana"/>
          <w:sz w:val="22"/>
          <w:szCs w:val="22"/>
        </w:rPr>
        <w:t xml:space="preserve">the </w:t>
      </w:r>
      <w:r w:rsidRPr="001F0456">
        <w:rPr>
          <w:rFonts w:ascii="Verdana" w:hAnsi="Verdana"/>
          <w:sz w:val="22"/>
          <w:szCs w:val="22"/>
        </w:rPr>
        <w:t>ACA, CHIP and Medicaid, which will lead to people losing healthcare (some begin in 2027).</w:t>
      </w:r>
    </w:p>
    <w:p w14:paraId="32874527" w14:textId="717C680A"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Provides $50 billion to rural healthcare providers between fiscal years 2026 and 2030, but it is estimated that at least $155 billion will be cut from rural communities. Half of the $50 billion will be controlled by the H</w:t>
      </w:r>
      <w:r w:rsidR="00C546B0" w:rsidRPr="001F0456">
        <w:rPr>
          <w:rFonts w:ascii="Verdana" w:hAnsi="Verdana"/>
          <w:sz w:val="22"/>
          <w:szCs w:val="22"/>
        </w:rPr>
        <w:t xml:space="preserve">ealth and </w:t>
      </w:r>
      <w:r w:rsidRPr="001F0456">
        <w:rPr>
          <w:rFonts w:ascii="Verdana" w:hAnsi="Verdana"/>
          <w:sz w:val="22"/>
          <w:szCs w:val="22"/>
        </w:rPr>
        <w:t>H</w:t>
      </w:r>
      <w:r w:rsidR="00C546B0" w:rsidRPr="001F0456">
        <w:rPr>
          <w:rFonts w:ascii="Verdana" w:hAnsi="Verdana"/>
          <w:sz w:val="22"/>
          <w:szCs w:val="22"/>
        </w:rPr>
        <w:t xml:space="preserve">uman </w:t>
      </w:r>
      <w:r w:rsidRPr="001F0456">
        <w:rPr>
          <w:rFonts w:ascii="Verdana" w:hAnsi="Verdana"/>
          <w:sz w:val="22"/>
          <w:szCs w:val="22"/>
        </w:rPr>
        <w:t>S</w:t>
      </w:r>
      <w:r w:rsidR="00C546B0" w:rsidRPr="001F0456">
        <w:rPr>
          <w:rFonts w:ascii="Verdana" w:hAnsi="Verdana"/>
          <w:sz w:val="22"/>
          <w:szCs w:val="22"/>
        </w:rPr>
        <w:t>ervices</w:t>
      </w:r>
      <w:r w:rsidRPr="001F0456">
        <w:rPr>
          <w:rFonts w:ascii="Verdana" w:hAnsi="Verdana"/>
          <w:sz w:val="22"/>
          <w:szCs w:val="22"/>
        </w:rPr>
        <w:t xml:space="preserve"> </w:t>
      </w:r>
      <w:r w:rsidR="00C546B0" w:rsidRPr="001F0456">
        <w:rPr>
          <w:rFonts w:ascii="Verdana" w:hAnsi="Verdana"/>
          <w:sz w:val="22"/>
          <w:szCs w:val="22"/>
        </w:rPr>
        <w:t>s</w:t>
      </w:r>
      <w:r w:rsidRPr="001F0456">
        <w:rPr>
          <w:rFonts w:ascii="Verdana" w:hAnsi="Verdana"/>
          <w:sz w:val="22"/>
          <w:szCs w:val="22"/>
        </w:rPr>
        <w:t>ecretary and share</w:t>
      </w:r>
      <w:r w:rsidR="008908E5" w:rsidRPr="001F0456">
        <w:rPr>
          <w:rFonts w:ascii="Verdana" w:hAnsi="Verdana"/>
          <w:sz w:val="22"/>
          <w:szCs w:val="22"/>
        </w:rPr>
        <w:t>d</w:t>
      </w:r>
      <w:r w:rsidRPr="001F0456">
        <w:rPr>
          <w:rFonts w:ascii="Verdana" w:hAnsi="Verdana"/>
          <w:sz w:val="22"/>
          <w:szCs w:val="22"/>
        </w:rPr>
        <w:t xml:space="preserve"> through an application process.</w:t>
      </w:r>
    </w:p>
    <w:p w14:paraId="0A74C21D" w14:textId="1EA19272" w:rsidR="00A11840" w:rsidRPr="001F0456" w:rsidRDefault="00273E80">
      <w:pPr>
        <w:pStyle w:val="ListParagraph"/>
        <w:numPr>
          <w:ilvl w:val="0"/>
          <w:numId w:val="10"/>
        </w:numPr>
        <w:rPr>
          <w:rFonts w:ascii="Verdana" w:hAnsi="Verdana" w:cs="Arial"/>
          <w:sz w:val="22"/>
          <w:szCs w:val="22"/>
        </w:rPr>
      </w:pPr>
      <w:r w:rsidRPr="001F0456">
        <w:rPr>
          <w:rFonts w:ascii="Verdana" w:hAnsi="Verdana"/>
          <w:sz w:val="22"/>
          <w:szCs w:val="22"/>
        </w:rPr>
        <w:t>Restricts Medicaid, Medicare and ACA subsidy eligibility to citizens</w:t>
      </w:r>
      <w:r w:rsidR="008908E5" w:rsidRPr="001F0456">
        <w:rPr>
          <w:rFonts w:ascii="Verdana" w:hAnsi="Verdana"/>
          <w:sz w:val="22"/>
          <w:szCs w:val="22"/>
        </w:rPr>
        <w:t xml:space="preserve"> and</w:t>
      </w:r>
      <w:r w:rsidRPr="001F0456">
        <w:rPr>
          <w:rFonts w:ascii="Verdana" w:hAnsi="Verdana"/>
          <w:sz w:val="22"/>
          <w:szCs w:val="22"/>
        </w:rPr>
        <w:t xml:space="preserve"> lawful permanent residents, </w:t>
      </w:r>
      <w:r w:rsidR="005B45EE" w:rsidRPr="001F0456">
        <w:rPr>
          <w:rFonts w:ascii="Verdana" w:hAnsi="Verdana"/>
          <w:sz w:val="22"/>
          <w:szCs w:val="22"/>
        </w:rPr>
        <w:t xml:space="preserve">excluding other categories </w:t>
      </w:r>
      <w:r w:rsidRPr="001F0456">
        <w:rPr>
          <w:rFonts w:ascii="Verdana" w:hAnsi="Verdana"/>
          <w:sz w:val="22"/>
          <w:szCs w:val="22"/>
        </w:rPr>
        <w:t>including victims of sex trafficking, refugees and asyl</w:t>
      </w:r>
      <w:r w:rsidR="008908E5" w:rsidRPr="001F0456">
        <w:rPr>
          <w:rFonts w:ascii="Verdana" w:hAnsi="Verdana"/>
          <w:sz w:val="22"/>
          <w:szCs w:val="22"/>
        </w:rPr>
        <w:t>um-seekers</w:t>
      </w:r>
      <w:r w:rsidRPr="001F0456">
        <w:rPr>
          <w:rFonts w:ascii="Verdana" w:hAnsi="Verdana"/>
          <w:sz w:val="22"/>
          <w:szCs w:val="22"/>
        </w:rPr>
        <w:t xml:space="preserve">, but maintains access for certain Cuban and Haitian immigrants and Compact of Free American state migrants (some restrictions begin </w:t>
      </w:r>
      <w:r w:rsidRPr="001F0456">
        <w:rPr>
          <w:rFonts w:ascii="Verdana" w:hAnsi="Verdana" w:cs="Arial"/>
          <w:sz w:val="22"/>
          <w:szCs w:val="22"/>
        </w:rPr>
        <w:t xml:space="preserve">in 2026). </w:t>
      </w:r>
    </w:p>
    <w:p w14:paraId="3C4776F3" w14:textId="2487244E"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Provides a one</w:t>
      </w:r>
      <w:r w:rsidR="008908E5" w:rsidRPr="001F0456">
        <w:rPr>
          <w:rFonts w:ascii="Verdana" w:hAnsi="Verdana"/>
          <w:sz w:val="22"/>
          <w:szCs w:val="22"/>
        </w:rPr>
        <w:t>-</w:t>
      </w:r>
      <w:r w:rsidRPr="001F0456">
        <w:rPr>
          <w:rFonts w:ascii="Verdana" w:hAnsi="Verdana"/>
          <w:sz w:val="22"/>
          <w:szCs w:val="22"/>
        </w:rPr>
        <w:t>year 2.5</w:t>
      </w:r>
      <w:r w:rsidR="008908E5" w:rsidRPr="001F0456">
        <w:rPr>
          <w:rFonts w:ascii="Verdana" w:hAnsi="Verdana"/>
          <w:sz w:val="22"/>
          <w:szCs w:val="22"/>
        </w:rPr>
        <w:t xml:space="preserve"> percent</w:t>
      </w:r>
      <w:r w:rsidRPr="001F0456">
        <w:rPr>
          <w:rFonts w:ascii="Verdana" w:hAnsi="Verdana"/>
          <w:sz w:val="22"/>
          <w:szCs w:val="22"/>
        </w:rPr>
        <w:t xml:space="preserve"> increase in Medicare reimbursement rates for physicians (begins 2026).</w:t>
      </w:r>
    </w:p>
    <w:p w14:paraId="1CAB2CC2" w14:textId="3216E5CD"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For one year, bars Medicaid payments to nonprofit or community providers that primarily offer family planning or reproductive services that provide abortions outside on the Hyde exceptions (begins 2026).</w:t>
      </w:r>
    </w:p>
    <w:p w14:paraId="6DE0D834" w14:textId="5D73842F" w:rsidR="00A11840" w:rsidRPr="001F0456" w:rsidRDefault="00273E80">
      <w:pPr>
        <w:pStyle w:val="ListParagraph"/>
        <w:numPr>
          <w:ilvl w:val="0"/>
          <w:numId w:val="11"/>
        </w:numPr>
        <w:rPr>
          <w:rFonts w:ascii="Verdana" w:eastAsia="Source Sans Pro" w:hAnsi="Verdana" w:cs="Arial"/>
          <w:color w:val="333333"/>
          <w:sz w:val="22"/>
          <w:szCs w:val="22"/>
        </w:rPr>
      </w:pPr>
      <w:r w:rsidRPr="001F0456">
        <w:rPr>
          <w:rFonts w:ascii="Verdana" w:eastAsia="Source Sans Pro" w:hAnsi="Verdana" w:cs="Arial"/>
          <w:color w:val="333333"/>
          <w:sz w:val="22"/>
          <w:szCs w:val="22"/>
          <w:u w:color="333333"/>
        </w:rPr>
        <w:t xml:space="preserve">Prohibits the </w:t>
      </w:r>
      <w:r w:rsidR="008908E5" w:rsidRPr="001F0456">
        <w:rPr>
          <w:rFonts w:ascii="Verdana" w:eastAsia="Source Sans Pro" w:hAnsi="Verdana" w:cs="Arial"/>
          <w:color w:val="333333"/>
          <w:sz w:val="22"/>
          <w:szCs w:val="22"/>
          <w:u w:color="333333"/>
        </w:rPr>
        <w:t>HHS s</w:t>
      </w:r>
      <w:r w:rsidRPr="001F0456">
        <w:rPr>
          <w:rFonts w:ascii="Verdana" w:eastAsia="Source Sans Pro" w:hAnsi="Verdana" w:cs="Arial"/>
          <w:color w:val="333333"/>
          <w:sz w:val="22"/>
          <w:szCs w:val="22"/>
          <w:u w:color="333333"/>
        </w:rPr>
        <w:t>ecretary from implementing, administering or enforcing the nursing home minimum staffing rule.</w:t>
      </w:r>
      <w:r w:rsidRPr="001F0456">
        <w:rPr>
          <w:rFonts w:ascii="Verdana" w:hAnsi="Verdana" w:cs="Arial"/>
          <w:sz w:val="22"/>
          <w:szCs w:val="22"/>
        </w:rPr>
        <w:t xml:space="preserve"> </w:t>
      </w:r>
    </w:p>
    <w:p w14:paraId="65D338E7" w14:textId="0D5F0D08" w:rsidR="00A11840" w:rsidRPr="001F0456" w:rsidRDefault="00273E80">
      <w:pPr>
        <w:pStyle w:val="ListParagraph"/>
        <w:numPr>
          <w:ilvl w:val="0"/>
          <w:numId w:val="11"/>
        </w:numPr>
        <w:rPr>
          <w:rFonts w:ascii="Verdana" w:eastAsia="Source Sans Pro" w:hAnsi="Verdana" w:cs="Arial"/>
          <w:color w:val="333333"/>
          <w:sz w:val="22"/>
          <w:szCs w:val="22"/>
        </w:rPr>
      </w:pPr>
      <w:r w:rsidRPr="001F0456">
        <w:rPr>
          <w:rFonts w:ascii="Verdana" w:eastAsia="Source Sans Pro" w:hAnsi="Verdana" w:cs="Arial"/>
          <w:color w:val="333333"/>
          <w:sz w:val="22"/>
          <w:szCs w:val="22"/>
          <w:u w:color="333333"/>
        </w:rPr>
        <w:t>Limits federal matching payments to hospitals for emergency services provided to individuals who do not have documented immigration status</w:t>
      </w:r>
      <w:r w:rsidR="008908E5" w:rsidRPr="001F0456">
        <w:rPr>
          <w:rFonts w:ascii="Verdana" w:eastAsia="Source Sans Pro" w:hAnsi="Verdana" w:cs="Arial"/>
          <w:color w:val="333333"/>
          <w:sz w:val="22"/>
          <w:szCs w:val="22"/>
          <w:u w:color="333333"/>
        </w:rPr>
        <w:t xml:space="preserve"> </w:t>
      </w:r>
      <w:r w:rsidRPr="001F0456">
        <w:rPr>
          <w:rFonts w:ascii="Verdana" w:hAnsi="Verdana" w:cs="Arial"/>
          <w:sz w:val="22"/>
          <w:szCs w:val="22"/>
        </w:rPr>
        <w:t xml:space="preserve">(begins </w:t>
      </w:r>
      <w:r w:rsidRPr="001F0456">
        <w:rPr>
          <w:rFonts w:ascii="Verdana" w:eastAsia="Source Sans Pro" w:hAnsi="Verdana" w:cs="Arial"/>
          <w:color w:val="333333"/>
          <w:sz w:val="22"/>
          <w:szCs w:val="22"/>
          <w:u w:color="333333"/>
        </w:rPr>
        <w:t>Oct</w:t>
      </w:r>
      <w:r w:rsidR="008908E5" w:rsidRPr="001F0456">
        <w:rPr>
          <w:rFonts w:ascii="Verdana" w:eastAsia="Source Sans Pro" w:hAnsi="Verdana" w:cs="Arial"/>
          <w:color w:val="333333"/>
          <w:sz w:val="22"/>
          <w:szCs w:val="22"/>
          <w:u w:color="333333"/>
        </w:rPr>
        <w:t>.</w:t>
      </w:r>
      <w:r w:rsidRPr="001F0456">
        <w:rPr>
          <w:rFonts w:ascii="Verdana" w:eastAsia="Source Sans Pro" w:hAnsi="Verdana" w:cs="Arial"/>
          <w:color w:val="333333"/>
          <w:sz w:val="22"/>
          <w:szCs w:val="22"/>
          <w:u w:color="333333"/>
        </w:rPr>
        <w:t xml:space="preserve"> 1, 2026).</w:t>
      </w:r>
    </w:p>
    <w:p w14:paraId="733AD30D" w14:textId="1283A202" w:rsidR="00A11840" w:rsidRPr="001F0456" w:rsidRDefault="00273E80">
      <w:pPr>
        <w:pStyle w:val="ListParagraph"/>
        <w:numPr>
          <w:ilvl w:val="0"/>
          <w:numId w:val="10"/>
        </w:numPr>
        <w:rPr>
          <w:rFonts w:ascii="Verdana" w:hAnsi="Verdana"/>
          <w:sz w:val="22"/>
          <w:szCs w:val="22"/>
        </w:rPr>
      </w:pPr>
      <w:r w:rsidRPr="001F0456">
        <w:rPr>
          <w:rFonts w:ascii="Verdana" w:hAnsi="Verdana"/>
          <w:sz w:val="22"/>
          <w:szCs w:val="22"/>
        </w:rPr>
        <w:t xml:space="preserve">The amount of the deficit increase will trigger significant cuts to Medicare under the </w:t>
      </w:r>
      <w:r w:rsidR="008908E5" w:rsidRPr="001F0456">
        <w:rPr>
          <w:rFonts w:ascii="Verdana" w:hAnsi="Verdana"/>
          <w:sz w:val="22"/>
          <w:szCs w:val="22"/>
        </w:rPr>
        <w:t xml:space="preserve">pay-as-you-go rule (also known as PAYGO) </w:t>
      </w:r>
      <w:r w:rsidRPr="001F0456">
        <w:rPr>
          <w:rFonts w:ascii="Verdana" w:hAnsi="Verdana"/>
          <w:sz w:val="22"/>
          <w:szCs w:val="22"/>
        </w:rPr>
        <w:t xml:space="preserve">starting in 2026 unless Congress intervenes.  </w:t>
      </w:r>
    </w:p>
    <w:p w14:paraId="32BF9176" w14:textId="68274DB1" w:rsidR="00A11840" w:rsidRPr="001F0456" w:rsidRDefault="008A0322">
      <w:pPr>
        <w:pStyle w:val="ListParagraph"/>
        <w:numPr>
          <w:ilvl w:val="0"/>
          <w:numId w:val="10"/>
        </w:numPr>
        <w:rPr>
          <w:rFonts w:ascii="Verdana" w:hAnsi="Verdana"/>
          <w:sz w:val="22"/>
          <w:szCs w:val="22"/>
        </w:rPr>
      </w:pPr>
      <w:r w:rsidRPr="001F0456">
        <w:rPr>
          <w:rFonts w:ascii="Verdana" w:hAnsi="Verdana"/>
          <w:sz w:val="22"/>
          <w:szCs w:val="22"/>
        </w:rPr>
        <w:t>Does not extend the Affordable Care Act’s enhanced tax credits that expire at the end of th</w:t>
      </w:r>
      <w:r w:rsidR="008908E5" w:rsidRPr="001F0456">
        <w:rPr>
          <w:rFonts w:ascii="Verdana" w:hAnsi="Verdana"/>
          <w:sz w:val="22"/>
          <w:szCs w:val="22"/>
        </w:rPr>
        <w:t>is</w:t>
      </w:r>
      <w:r w:rsidRPr="001F0456">
        <w:rPr>
          <w:rFonts w:ascii="Verdana" w:hAnsi="Verdana"/>
          <w:sz w:val="22"/>
          <w:szCs w:val="22"/>
        </w:rPr>
        <w:t xml:space="preserve"> year. If Congress does not take action, more than 4 million people will lose their healthcare.</w:t>
      </w:r>
    </w:p>
    <w:p w14:paraId="7A3C1961" w14:textId="3499DE4F" w:rsidR="00A11840" w:rsidRPr="001F0456" w:rsidRDefault="008A0322">
      <w:pPr>
        <w:pStyle w:val="ListParagraph"/>
        <w:numPr>
          <w:ilvl w:val="0"/>
          <w:numId w:val="10"/>
        </w:numPr>
        <w:rPr>
          <w:rFonts w:ascii="Verdana" w:hAnsi="Verdana"/>
          <w:sz w:val="22"/>
          <w:szCs w:val="22"/>
        </w:rPr>
      </w:pPr>
      <w:r w:rsidRPr="001F0456">
        <w:rPr>
          <w:rFonts w:ascii="Verdana" w:hAnsi="Verdana"/>
          <w:sz w:val="22"/>
          <w:szCs w:val="22"/>
        </w:rPr>
        <w:t xml:space="preserve">Does not include funding for </w:t>
      </w:r>
      <w:r w:rsidR="008908E5" w:rsidRPr="001F0456">
        <w:rPr>
          <w:rFonts w:ascii="Verdana" w:hAnsi="Verdana"/>
          <w:sz w:val="22"/>
          <w:szCs w:val="22"/>
        </w:rPr>
        <w:t>d</w:t>
      </w:r>
      <w:r w:rsidRPr="001F0456">
        <w:rPr>
          <w:rFonts w:ascii="Verdana" w:hAnsi="Verdana"/>
          <w:sz w:val="22"/>
          <w:szCs w:val="22"/>
        </w:rPr>
        <w:t>isproportionate</w:t>
      </w:r>
      <w:r w:rsidR="008908E5" w:rsidRPr="001F0456">
        <w:rPr>
          <w:rFonts w:ascii="Verdana" w:hAnsi="Verdana"/>
          <w:sz w:val="22"/>
          <w:szCs w:val="22"/>
        </w:rPr>
        <w:t xml:space="preserve"> s</w:t>
      </w:r>
      <w:r w:rsidRPr="001F0456">
        <w:rPr>
          <w:rFonts w:ascii="Verdana" w:hAnsi="Verdana"/>
          <w:sz w:val="22"/>
          <w:szCs w:val="22"/>
        </w:rPr>
        <w:t>hare hospitals.</w:t>
      </w:r>
    </w:p>
    <w:p w14:paraId="203927F0" w14:textId="77777777" w:rsidR="009D6C22" w:rsidRDefault="009D6C22">
      <w:pPr>
        <w:rPr>
          <w:rFonts w:ascii="Frutiger 45 Light" w:eastAsia="Aptos" w:hAnsi="Frutiger 45 Light" w:cs="Aptos"/>
          <w:b/>
          <w:bCs/>
          <w:color w:val="000000"/>
          <w:kern w:val="2"/>
          <w:sz w:val="28"/>
          <w:szCs w:val="28"/>
          <w:u w:color="000000"/>
          <w14:textOutline w14:w="0" w14:cap="flat" w14:cmpd="sng" w14:algn="ctr">
            <w14:noFill/>
            <w14:prstDash w14:val="solid"/>
            <w14:bevel/>
          </w14:textOutline>
        </w:rPr>
      </w:pPr>
      <w:r>
        <w:rPr>
          <w:rFonts w:ascii="Frutiger 45 Light" w:hAnsi="Frutiger 45 Light"/>
          <w:b/>
          <w:bCs/>
          <w:sz w:val="28"/>
          <w:szCs w:val="28"/>
        </w:rPr>
        <w:br w:type="page"/>
      </w:r>
    </w:p>
    <w:p w14:paraId="2C6D431D" w14:textId="0E2E45D1" w:rsidR="00273E80" w:rsidRPr="00575741" w:rsidRDefault="00273E80" w:rsidP="00273E80">
      <w:pPr>
        <w:pStyle w:val="Body"/>
        <w:jc w:val="center"/>
        <w:rPr>
          <w:rFonts w:ascii="Frutiger 45 Light" w:eastAsia="Arial" w:hAnsi="Frutiger 45 Light" w:cs="Arial"/>
          <w:b/>
          <w:bCs/>
          <w:sz w:val="28"/>
          <w:szCs w:val="28"/>
        </w:rPr>
      </w:pPr>
      <w:r w:rsidRPr="00575741">
        <w:rPr>
          <w:rFonts w:ascii="Frutiger 45 Light" w:hAnsi="Frutiger 45 Light"/>
          <w:b/>
          <w:bCs/>
          <w:sz w:val="28"/>
          <w:szCs w:val="28"/>
        </w:rPr>
        <w:lastRenderedPageBreak/>
        <w:t>Key Education Provisions in the One Big Beautiful Bill Act</w:t>
      </w:r>
      <w:r w:rsidRPr="00575741" w:rsidDel="00FE3E62">
        <w:rPr>
          <w:rFonts w:ascii="Frutiger 45 Light" w:hAnsi="Frutiger 45 Light"/>
          <w:b/>
          <w:bCs/>
          <w:sz w:val="28"/>
          <w:szCs w:val="28"/>
        </w:rPr>
        <w:t xml:space="preserve"> </w:t>
      </w:r>
    </w:p>
    <w:p w14:paraId="76B4894C" w14:textId="77777777" w:rsidR="00273E80" w:rsidRPr="001F0456" w:rsidRDefault="00273E80" w:rsidP="00273E80">
      <w:pPr>
        <w:pStyle w:val="Body"/>
        <w:rPr>
          <w:rFonts w:ascii="Verdana" w:eastAsia="Arial" w:hAnsi="Verdana" w:cs="Arial"/>
          <w:kern w:val="0"/>
          <w:sz w:val="22"/>
          <w:szCs w:val="22"/>
        </w:rPr>
      </w:pPr>
    </w:p>
    <w:p w14:paraId="070419AE" w14:textId="77777777" w:rsidR="00273E80" w:rsidRPr="001F0456" w:rsidRDefault="00273E80" w:rsidP="00273E80">
      <w:pPr>
        <w:pStyle w:val="Body"/>
        <w:rPr>
          <w:rFonts w:ascii="Verdana" w:eastAsia="Arial" w:hAnsi="Verdana" w:cs="Arial"/>
          <w:kern w:val="0"/>
          <w:sz w:val="22"/>
          <w:szCs w:val="22"/>
        </w:rPr>
      </w:pPr>
      <w:r w:rsidRPr="001F0456">
        <w:rPr>
          <w:rFonts w:ascii="Verdana" w:hAnsi="Verdana"/>
          <w:kern w:val="0"/>
          <w:sz w:val="22"/>
          <w:szCs w:val="22"/>
        </w:rPr>
        <w:t>The law seeks to overhaul the student loan repayment system while imposing stricter standards on universities and students receiving financial aid. It also creates an unprecedented, permanent tax credit to fund school vouchers.</w:t>
      </w:r>
    </w:p>
    <w:p w14:paraId="4359DF6F" w14:textId="77777777" w:rsidR="00273E80" w:rsidRPr="001F0456" w:rsidRDefault="00273E80" w:rsidP="00273E80">
      <w:pPr>
        <w:pStyle w:val="Body"/>
        <w:rPr>
          <w:rFonts w:ascii="Verdana" w:eastAsia="Arial" w:hAnsi="Verdana" w:cs="Arial"/>
          <w:kern w:val="0"/>
          <w:sz w:val="22"/>
          <w:szCs w:val="22"/>
        </w:rPr>
      </w:pPr>
    </w:p>
    <w:tbl>
      <w:tblPr>
        <w:tblStyle w:val="TableGrid"/>
        <w:tblW w:w="0" w:type="auto"/>
        <w:jc w:val="center"/>
        <w:tblLook w:val="04A0" w:firstRow="1" w:lastRow="0" w:firstColumn="1" w:lastColumn="0" w:noHBand="0" w:noVBand="1"/>
      </w:tblPr>
      <w:tblGrid>
        <w:gridCol w:w="9540"/>
      </w:tblGrid>
      <w:tr w:rsidR="00575741" w:rsidRPr="00575741" w14:paraId="0C3417CC" w14:textId="77777777" w:rsidTr="002B5F64">
        <w:trPr>
          <w:trHeight w:val="485"/>
          <w:jc w:val="center"/>
        </w:trPr>
        <w:tc>
          <w:tcPr>
            <w:tcW w:w="9540" w:type="dxa"/>
            <w:tcBorders>
              <w:bottom w:val="single" w:sz="4" w:space="0" w:color="auto"/>
            </w:tcBorders>
            <w:shd w:val="clear" w:color="auto" w:fill="0F4761" w:themeFill="accent1" w:themeFillShade="BF"/>
            <w:vAlign w:val="center"/>
          </w:tcPr>
          <w:p w14:paraId="6CEE4759" w14:textId="77777777" w:rsidR="00575741" w:rsidRPr="00575741" w:rsidRDefault="00575741" w:rsidP="00D500DF">
            <w:pPr>
              <w:pStyle w:val="Body"/>
              <w:rPr>
                <w:rFonts w:ascii="Verdana" w:eastAsia="Arial" w:hAnsi="Verdana" w:cs="Arial"/>
                <w:b/>
                <w:bCs/>
                <w:kern w:val="0"/>
                <w:sz w:val="22"/>
                <w:szCs w:val="22"/>
              </w:rPr>
            </w:pPr>
            <w:r w:rsidRPr="00575741">
              <w:rPr>
                <w:rFonts w:ascii="Verdana" w:hAnsi="Verdana"/>
                <w:b/>
                <w:bCs/>
                <w:color w:val="FFFFFF" w:themeColor="background1"/>
                <w:kern w:val="0"/>
                <w:sz w:val="22"/>
                <w:szCs w:val="22"/>
              </w:rPr>
              <w:t>What it means for AFT members:</w:t>
            </w:r>
          </w:p>
        </w:tc>
      </w:tr>
      <w:tr w:rsidR="00575741" w:rsidRPr="00575741" w14:paraId="19FD2087" w14:textId="77777777" w:rsidTr="002B5F64">
        <w:trPr>
          <w:trHeight w:val="890"/>
          <w:jc w:val="center"/>
        </w:trPr>
        <w:tc>
          <w:tcPr>
            <w:tcW w:w="9540" w:type="dxa"/>
            <w:tcBorders>
              <w:bottom w:val="nil"/>
            </w:tcBorders>
            <w:vAlign w:val="center"/>
          </w:tcPr>
          <w:p w14:paraId="4581A754"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Creates a permanent private school voucher scheme that drains resources from our neighborhood public schools, undermining the schools where our families send their kids and where our members work.</w:t>
            </w:r>
          </w:p>
        </w:tc>
      </w:tr>
      <w:tr w:rsidR="00575741" w:rsidRPr="00575741" w14:paraId="03A0C0C8" w14:textId="77777777" w:rsidTr="002B5F64">
        <w:trPr>
          <w:trHeight w:val="1170"/>
          <w:jc w:val="center"/>
        </w:trPr>
        <w:tc>
          <w:tcPr>
            <w:tcW w:w="9540" w:type="dxa"/>
            <w:tcBorders>
              <w:top w:val="nil"/>
              <w:bottom w:val="nil"/>
            </w:tcBorders>
            <w:vAlign w:val="center"/>
          </w:tcPr>
          <w:p w14:paraId="1ED59ACF"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color w:val="212121"/>
                <w:kern w:val="0"/>
                <w:sz w:val="21"/>
                <w:szCs w:val="21"/>
                <w:u w:color="212121"/>
              </w:rPr>
              <w:t>The voucher tax credit provision will divert crucial public funds away from students in public schools to pay for private school tuition. Vouchers have caused some of the largest achievement drops ever recorded, and most vouchers go to families whose children already attend private schools. </w:t>
            </w:r>
          </w:p>
        </w:tc>
      </w:tr>
      <w:tr w:rsidR="00575741" w:rsidRPr="00575741" w14:paraId="18334D74" w14:textId="77777777" w:rsidTr="002B5F64">
        <w:trPr>
          <w:trHeight w:val="1188"/>
          <w:jc w:val="center"/>
        </w:trPr>
        <w:tc>
          <w:tcPr>
            <w:tcW w:w="9540" w:type="dxa"/>
            <w:tcBorders>
              <w:top w:val="nil"/>
              <w:bottom w:val="nil"/>
            </w:tcBorders>
            <w:vAlign w:val="center"/>
          </w:tcPr>
          <w:p w14:paraId="49107A5E" w14:textId="77777777" w:rsidR="00575741" w:rsidRPr="009D6C22" w:rsidRDefault="00575741" w:rsidP="00D500DF">
            <w:pPr>
              <w:pStyle w:val="ListParagraph"/>
              <w:numPr>
                <w:ilvl w:val="0"/>
                <w:numId w:val="23"/>
              </w:numPr>
              <w:rPr>
                <w:rFonts w:ascii="Verdana" w:hAnsi="Verdana"/>
                <w:color w:val="212121"/>
                <w:sz w:val="21"/>
                <w:szCs w:val="21"/>
              </w:rPr>
            </w:pPr>
            <w:r w:rsidRPr="009D6C22">
              <w:rPr>
                <w:rFonts w:ascii="Verdana" w:hAnsi="Verdana"/>
                <w:color w:val="212121"/>
                <w:sz w:val="21"/>
                <w:szCs w:val="21"/>
                <w:u w:color="212121"/>
              </w:rPr>
              <w:t>A</w:t>
            </w:r>
            <w:hyperlink r:id="rId13" w:history="1">
              <w:r w:rsidRPr="009D6C22">
                <w:rPr>
                  <w:rStyle w:val="Hyperlink4"/>
                  <w:rFonts w:ascii="Verdana" w:hAnsi="Verdana"/>
                  <w:sz w:val="21"/>
                  <w:szCs w:val="21"/>
                </w:rPr>
                <w:t xml:space="preserve"> new analysis</w:t>
              </w:r>
            </w:hyperlink>
            <w:r w:rsidRPr="009D6C22">
              <w:rPr>
                <w:rFonts w:ascii="Verdana" w:hAnsi="Verdana"/>
                <w:color w:val="212121"/>
                <w:sz w:val="21"/>
                <w:szCs w:val="21"/>
                <w:u w:color="212121"/>
              </w:rPr>
              <w:t> estimates the cost of the new voucher program could be as high as  $51 billion per year. As a reference, IDEA is funded at $13 billion and Title I is funded at roughly $18 billion. $51 billion is more than the federal government spends on public K12 education.</w:t>
            </w:r>
          </w:p>
        </w:tc>
      </w:tr>
      <w:tr w:rsidR="00575741" w:rsidRPr="00575741" w14:paraId="42A36ECA" w14:textId="77777777" w:rsidTr="002B5F64">
        <w:trPr>
          <w:trHeight w:val="1116"/>
          <w:jc w:val="center"/>
        </w:trPr>
        <w:tc>
          <w:tcPr>
            <w:tcW w:w="9540" w:type="dxa"/>
            <w:tcBorders>
              <w:top w:val="nil"/>
              <w:bottom w:val="nil"/>
            </w:tcBorders>
            <w:vAlign w:val="center"/>
          </w:tcPr>
          <w:p w14:paraId="032F24CD" w14:textId="77777777" w:rsidR="00575741" w:rsidRPr="009D6C22" w:rsidRDefault="00575741" w:rsidP="00D500DF">
            <w:pPr>
              <w:pStyle w:val="ListParagraph"/>
              <w:numPr>
                <w:ilvl w:val="0"/>
                <w:numId w:val="23"/>
              </w:numPr>
              <w:rPr>
                <w:rFonts w:ascii="Verdana" w:hAnsi="Verdana"/>
                <w:color w:val="212121"/>
                <w:sz w:val="21"/>
                <w:szCs w:val="21"/>
              </w:rPr>
            </w:pPr>
            <w:r w:rsidRPr="009D6C22">
              <w:rPr>
                <w:rFonts w:ascii="Verdana" w:hAnsi="Verdana"/>
                <w:color w:val="212121"/>
                <w:sz w:val="21"/>
                <w:szCs w:val="21"/>
                <w:u w:color="212121"/>
              </w:rPr>
              <w:t>The IRS must issue regulations about the voucher program and then states will have to determine if they will participate (and if so, how), so there will be plenty of need for engagement at the state level on the voucher program over the next couple of years. The voucher tax credit begins in tax year 2027.</w:t>
            </w:r>
          </w:p>
        </w:tc>
      </w:tr>
      <w:tr w:rsidR="00575741" w:rsidRPr="00575741" w14:paraId="6DFAC7B5" w14:textId="77777777" w:rsidTr="002B5F64">
        <w:trPr>
          <w:trHeight w:val="837"/>
          <w:jc w:val="center"/>
        </w:trPr>
        <w:tc>
          <w:tcPr>
            <w:tcW w:w="9540" w:type="dxa"/>
            <w:tcBorders>
              <w:top w:val="nil"/>
              <w:bottom w:val="nil"/>
            </w:tcBorders>
            <w:vAlign w:val="center"/>
          </w:tcPr>
          <w:p w14:paraId="12DE1C92"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Guts more than $300 billion from higher education, driving up college costs and loan repayment costs—putting college out of reach for our kids and grandkids—and slashing financial aid and support for public institutions.</w:t>
            </w:r>
          </w:p>
        </w:tc>
      </w:tr>
      <w:tr w:rsidR="00575741" w:rsidRPr="00575741" w14:paraId="60BADE2B" w14:textId="77777777" w:rsidTr="002B5F64">
        <w:trPr>
          <w:trHeight w:val="945"/>
          <w:jc w:val="center"/>
        </w:trPr>
        <w:tc>
          <w:tcPr>
            <w:tcW w:w="9540" w:type="dxa"/>
            <w:tcBorders>
              <w:top w:val="nil"/>
              <w:bottom w:val="nil"/>
            </w:tcBorders>
            <w:vAlign w:val="center"/>
          </w:tcPr>
          <w:p w14:paraId="48CC4D36"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sz w:val="21"/>
                <w:szCs w:val="21"/>
              </w:rPr>
              <w:t>Eliminates the most affordable i</w:t>
            </w:r>
            <w:r w:rsidRPr="009D6C22">
              <w:rPr>
                <w:rFonts w:ascii="Verdana" w:hAnsi="Verdana"/>
                <w:kern w:val="0"/>
                <w:sz w:val="21"/>
                <w:szCs w:val="21"/>
              </w:rPr>
              <w:t>ncome-driven repayment options, meaning the typical college graduate will pay almost $3,000 more per year in student loan payments.</w:t>
            </w:r>
          </w:p>
        </w:tc>
      </w:tr>
      <w:tr w:rsidR="00575741" w:rsidRPr="00575741" w14:paraId="58DE2DAB" w14:textId="77777777" w:rsidTr="002B5F64">
        <w:trPr>
          <w:trHeight w:val="945"/>
          <w:jc w:val="center"/>
        </w:trPr>
        <w:tc>
          <w:tcPr>
            <w:tcW w:w="9540" w:type="dxa"/>
            <w:tcBorders>
              <w:top w:val="nil"/>
              <w:bottom w:val="nil"/>
            </w:tcBorders>
            <w:vAlign w:val="center"/>
          </w:tcPr>
          <w:p w14:paraId="7BE9F162"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Jeopardizes training for essential union-represented careers like educators, early childhood workers and social workers by forcing schools to restrict access to federal aid and limiting what programs students can enroll in.</w:t>
            </w:r>
          </w:p>
        </w:tc>
      </w:tr>
      <w:tr w:rsidR="00575741" w:rsidRPr="00575741" w14:paraId="0F5BB293" w14:textId="77777777" w:rsidTr="002B5F64">
        <w:trPr>
          <w:trHeight w:val="711"/>
          <w:jc w:val="center"/>
        </w:trPr>
        <w:tc>
          <w:tcPr>
            <w:tcW w:w="9540" w:type="dxa"/>
            <w:tcBorders>
              <w:top w:val="nil"/>
              <w:bottom w:val="nil"/>
            </w:tcBorders>
            <w:vAlign w:val="center"/>
          </w:tcPr>
          <w:p w14:paraId="5E8AD6B4"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Eliminates federal grad PLUS loans, pushing more than 425,000 students into risky private loans without protections or eligibility for Public Service Loan Forgiveness.</w:t>
            </w:r>
          </w:p>
        </w:tc>
      </w:tr>
      <w:tr w:rsidR="00575741" w:rsidRPr="00575741" w14:paraId="315D348B" w14:textId="77777777" w:rsidTr="002B5F64">
        <w:trPr>
          <w:trHeight w:val="927"/>
          <w:jc w:val="center"/>
        </w:trPr>
        <w:tc>
          <w:tcPr>
            <w:tcW w:w="9540" w:type="dxa"/>
            <w:tcBorders>
              <w:top w:val="nil"/>
              <w:bottom w:val="nil"/>
            </w:tcBorders>
            <w:vAlign w:val="center"/>
          </w:tcPr>
          <w:p w14:paraId="4BDE7C8E"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Strips relief from students scammed by for-profit colleges, abandoning working people who were scammed by predatory colleges while trying to improve their lives through education.</w:t>
            </w:r>
          </w:p>
        </w:tc>
      </w:tr>
      <w:tr w:rsidR="00575741" w:rsidRPr="00575741" w14:paraId="53FAFC11" w14:textId="77777777" w:rsidTr="002B5F64">
        <w:trPr>
          <w:trHeight w:val="666"/>
          <w:jc w:val="center"/>
        </w:trPr>
        <w:tc>
          <w:tcPr>
            <w:tcW w:w="9540" w:type="dxa"/>
            <w:tcBorders>
              <w:top w:val="nil"/>
              <w:bottom w:val="nil"/>
            </w:tcBorders>
            <w:vAlign w:val="center"/>
          </w:tcPr>
          <w:p w14:paraId="5FB593FB"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kern w:val="0"/>
                <w:sz w:val="21"/>
                <w:szCs w:val="21"/>
              </w:rPr>
              <w:t>Raids $3.8 billion from university endowments, slashing funding that supports scholarships, medical research and student aid for working families.</w:t>
            </w:r>
          </w:p>
        </w:tc>
      </w:tr>
      <w:tr w:rsidR="00575741" w:rsidRPr="00575741" w14:paraId="7C7D2BBD" w14:textId="77777777" w:rsidTr="002B5F64">
        <w:trPr>
          <w:trHeight w:val="612"/>
          <w:jc w:val="center"/>
        </w:trPr>
        <w:tc>
          <w:tcPr>
            <w:tcW w:w="9540" w:type="dxa"/>
            <w:tcBorders>
              <w:top w:val="nil"/>
              <w:bottom w:val="nil"/>
            </w:tcBorders>
            <w:vAlign w:val="center"/>
          </w:tcPr>
          <w:p w14:paraId="5EA509FE"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sz w:val="21"/>
                <w:szCs w:val="21"/>
              </w:rPr>
              <w:t xml:space="preserve">Deficit increase triggers significant cuts to education under PAYGO starting in 2026 unless Congress intervenes.  </w:t>
            </w:r>
          </w:p>
        </w:tc>
      </w:tr>
      <w:tr w:rsidR="00575741" w:rsidRPr="001F0456" w14:paraId="552956A3" w14:textId="77777777" w:rsidTr="002B5F64">
        <w:trPr>
          <w:trHeight w:val="783"/>
          <w:jc w:val="center"/>
        </w:trPr>
        <w:tc>
          <w:tcPr>
            <w:tcW w:w="9540" w:type="dxa"/>
            <w:tcBorders>
              <w:top w:val="nil"/>
            </w:tcBorders>
            <w:vAlign w:val="center"/>
          </w:tcPr>
          <w:p w14:paraId="6903E306" w14:textId="77777777" w:rsidR="00575741" w:rsidRPr="009D6C22" w:rsidRDefault="00575741" w:rsidP="00D500DF">
            <w:pPr>
              <w:pStyle w:val="ListParagraph"/>
              <w:numPr>
                <w:ilvl w:val="0"/>
                <w:numId w:val="23"/>
              </w:numPr>
              <w:rPr>
                <w:rFonts w:ascii="Verdana" w:hAnsi="Verdana"/>
                <w:sz w:val="21"/>
                <w:szCs w:val="21"/>
              </w:rPr>
            </w:pPr>
            <w:r w:rsidRPr="009D6C22">
              <w:rPr>
                <w:rFonts w:ascii="Verdana" w:hAnsi="Verdana"/>
                <w:sz w:val="21"/>
                <w:szCs w:val="21"/>
                <w:shd w:val="clear" w:color="auto" w:fill="FAFAFA"/>
              </w:rPr>
              <w:t>The law is a frontal attack on the ability of students—especially low-income students—to access and afford higher education</w:t>
            </w:r>
            <w:r w:rsidRPr="009D6C22">
              <w:rPr>
                <w:rFonts w:ascii="Verdana" w:hAnsi="Verdana"/>
                <w:sz w:val="21"/>
                <w:szCs w:val="21"/>
              </w:rPr>
              <w:t>.</w:t>
            </w:r>
            <w:r w:rsidRPr="009D6C22">
              <w:rPr>
                <w:rFonts w:ascii="Verdana" w:hAnsi="Verdana"/>
                <w:sz w:val="21"/>
                <w:szCs w:val="21"/>
                <w:shd w:val="clear" w:color="auto" w:fill="FAFAFA"/>
              </w:rPr>
              <w:t xml:space="preserve"> It will have a dramatically negative impact, not just on higher ed, but on the whole population.</w:t>
            </w:r>
          </w:p>
        </w:tc>
      </w:tr>
    </w:tbl>
    <w:p w14:paraId="38B6E693" w14:textId="4EFA21C4" w:rsidR="00273E80" w:rsidRPr="001F0456" w:rsidRDefault="00273E80" w:rsidP="00575741">
      <w:pPr>
        <w:pStyle w:val="ListParagraph"/>
        <w:rPr>
          <w:rFonts w:ascii="Verdana" w:hAnsi="Verdana"/>
          <w:sz w:val="22"/>
          <w:szCs w:val="22"/>
        </w:rPr>
      </w:pPr>
    </w:p>
    <w:p w14:paraId="5BB85CA8" w14:textId="77777777" w:rsidR="00273E80" w:rsidRPr="001F0456" w:rsidRDefault="00273E80" w:rsidP="00273E80">
      <w:pPr>
        <w:pStyle w:val="Body"/>
        <w:rPr>
          <w:rFonts w:ascii="Verdana" w:eastAsia="Arial" w:hAnsi="Verdana" w:cs="Arial"/>
          <w:kern w:val="0"/>
          <w:sz w:val="22"/>
          <w:szCs w:val="22"/>
        </w:rPr>
      </w:pPr>
    </w:p>
    <w:p w14:paraId="4AC78F45" w14:textId="77777777" w:rsidR="00273E80" w:rsidRPr="002B5F64" w:rsidRDefault="00273E80" w:rsidP="00273E80">
      <w:pPr>
        <w:pStyle w:val="Body"/>
        <w:rPr>
          <w:rFonts w:ascii="Frutiger 45 Light" w:eastAsia="Arial" w:hAnsi="Frutiger 45 Light" w:cs="Arial"/>
          <w:b/>
          <w:bCs/>
          <w:kern w:val="0"/>
        </w:rPr>
      </w:pPr>
      <w:r w:rsidRPr="002B5F64">
        <w:rPr>
          <w:rFonts w:ascii="Frutiger 45 Light" w:hAnsi="Frutiger 45 Light"/>
          <w:b/>
          <w:bCs/>
          <w:kern w:val="0"/>
          <w:lang w:val="fr-FR"/>
        </w:rPr>
        <w:lastRenderedPageBreak/>
        <w:t>Voucher provisions:</w:t>
      </w:r>
    </w:p>
    <w:p w14:paraId="64D015AB" w14:textId="77777777" w:rsidR="00273E80" w:rsidRPr="001F0456" w:rsidRDefault="00273E80" w:rsidP="00273E80">
      <w:pPr>
        <w:pStyle w:val="Body"/>
        <w:rPr>
          <w:rFonts w:ascii="Verdana" w:eastAsia="Arial" w:hAnsi="Verdana" w:cs="Arial"/>
          <w:kern w:val="0"/>
          <w:sz w:val="22"/>
          <w:szCs w:val="22"/>
        </w:rPr>
      </w:pPr>
    </w:p>
    <w:p w14:paraId="1DDC2587" w14:textId="77777777" w:rsidR="00273E80" w:rsidRPr="001F0456" w:rsidRDefault="00273E80" w:rsidP="00273E80">
      <w:pPr>
        <w:pStyle w:val="Body"/>
        <w:rPr>
          <w:rFonts w:ascii="Verdana" w:eastAsia="Arial" w:hAnsi="Verdana" w:cs="Arial"/>
          <w:color w:val="212121"/>
          <w:sz w:val="22"/>
          <w:szCs w:val="22"/>
          <w:u w:color="212121"/>
        </w:rPr>
      </w:pPr>
      <w:r w:rsidRPr="001F0456">
        <w:rPr>
          <w:rFonts w:ascii="Verdana" w:hAnsi="Verdana"/>
          <w:color w:val="212121"/>
          <w:sz w:val="22"/>
          <w:szCs w:val="22"/>
          <w:u w:color="212121"/>
        </w:rPr>
        <w:t>Tax credit for contributions of individuals to scholarship granting organizations</w:t>
      </w:r>
    </w:p>
    <w:p w14:paraId="21986ECE" w14:textId="77777777" w:rsidR="00273E80" w:rsidRPr="001F0456" w:rsidRDefault="00273E80" w:rsidP="00273E80">
      <w:pPr>
        <w:pStyle w:val="Body"/>
        <w:rPr>
          <w:rFonts w:ascii="Verdana" w:hAnsi="Verdana"/>
          <w:color w:val="212121"/>
          <w:sz w:val="22"/>
          <w:szCs w:val="22"/>
          <w:u w:color="212121"/>
        </w:rPr>
      </w:pPr>
    </w:p>
    <w:p w14:paraId="6FDFA89A" w14:textId="13021ED2" w:rsidR="00273E80" w:rsidRDefault="00273E80" w:rsidP="00273E80">
      <w:pPr>
        <w:pStyle w:val="Body"/>
        <w:rPr>
          <w:rFonts w:ascii="Verdana" w:hAnsi="Verdana"/>
          <w:color w:val="212121"/>
          <w:sz w:val="22"/>
          <w:szCs w:val="22"/>
          <w:u w:color="212121"/>
        </w:rPr>
      </w:pPr>
      <w:r w:rsidRPr="001F0456">
        <w:rPr>
          <w:rFonts w:ascii="Verdana" w:hAnsi="Verdana"/>
          <w:color w:val="212121"/>
          <w:sz w:val="22"/>
          <w:szCs w:val="22"/>
          <w:u w:color="212121"/>
        </w:rPr>
        <w:t>This section creates the first national voucher program, structured as a 100 percent tuition tax credit. While a taxpayer anywhere in the country can claim the federal tax credit, the vouchers are limited to students in states that effectively opt in by approving “scholarship granting organizations” to operate within their state.</w:t>
      </w:r>
      <w:r w:rsidR="00F50476">
        <w:rPr>
          <w:rFonts w:ascii="Verdana" w:hAnsi="Verdana"/>
          <w:color w:val="212121"/>
          <w:sz w:val="22"/>
          <w:szCs w:val="22"/>
          <w:u w:color="212121"/>
        </w:rPr>
        <w:t xml:space="preserve"> </w:t>
      </w:r>
    </w:p>
    <w:p w14:paraId="6A8F1988" w14:textId="77777777" w:rsidR="00F50476" w:rsidRPr="001F0456" w:rsidRDefault="00F50476" w:rsidP="00273E80">
      <w:pPr>
        <w:pStyle w:val="Body"/>
        <w:rPr>
          <w:rFonts w:ascii="Verdana" w:eastAsia="Arial" w:hAnsi="Verdana" w:cs="Arial"/>
          <w:color w:val="212121"/>
          <w:sz w:val="22"/>
          <w:szCs w:val="22"/>
          <w:u w:color="212121"/>
        </w:rPr>
      </w:pPr>
    </w:p>
    <w:p w14:paraId="72541EFE"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Any taxpayer in the country can claim a federal tax credit of up to $1,700 per year by contributing to an SGO. This is a 100 percent credit, meaning that a $1,700 contribution results in a $1,700 credit (i.e., $1,700 less in taxes owed).</w:t>
      </w:r>
    </w:p>
    <w:p w14:paraId="2035EAA4"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The SGO then uses those funds to distribute “scholarships” to K-12 students. For an SGO to participate in this program, a state must include it on a list of approved SGOs. </w:t>
      </w:r>
    </w:p>
    <w:p w14:paraId="4F774C80"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Students who receive vouchers must be from families earning less than 300 percent of the area median income and must attend school in a state that has included the SGO on its list of approved SGOs.</w:t>
      </w:r>
    </w:p>
    <w:p w14:paraId="2EBEA9CF"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The “scholarships” can be used for any qualified educational expense, using the existing Coverdell accounts definition of “qualified education expense” [</w:t>
      </w:r>
      <w:hyperlink r:id="rId14" w:history="1">
        <w:r w:rsidRPr="001F0456">
          <w:rPr>
            <w:rStyle w:val="Hyperlink5"/>
            <w:rFonts w:ascii="Verdana" w:hAnsi="Verdana"/>
            <w:sz w:val="22"/>
            <w:szCs w:val="22"/>
          </w:rPr>
          <w:t xml:space="preserve">26 U.S. Code </w:t>
        </w:r>
        <w:r w:rsidRPr="001F0456">
          <w:rPr>
            <w:rStyle w:val="Link"/>
            <w:rFonts w:ascii="Verdana" w:hAnsi="Verdana"/>
            <w:color w:val="96607D"/>
            <w:sz w:val="22"/>
            <w:szCs w:val="22"/>
            <w:u w:color="96607D"/>
          </w:rPr>
          <w:t xml:space="preserve">§ </w:t>
        </w:r>
        <w:r w:rsidRPr="001F0456">
          <w:rPr>
            <w:rStyle w:val="Hyperlink5"/>
            <w:rFonts w:ascii="Verdana" w:hAnsi="Verdana"/>
            <w:sz w:val="22"/>
            <w:szCs w:val="22"/>
          </w:rPr>
          <w:t>530(3)(A)</w:t>
        </w:r>
      </w:hyperlink>
      <w:r w:rsidRPr="001F0456">
        <w:rPr>
          <w:rFonts w:ascii="Verdana" w:hAnsi="Verdana"/>
          <w:color w:val="212121"/>
          <w:sz w:val="22"/>
          <w:szCs w:val="22"/>
          <w:u w:color="212121"/>
        </w:rPr>
        <w:t>]. Note that this explicitly includes uses for students at public schools as well as private schools. There is no cap on the amount of the scholarship.</w:t>
      </w:r>
    </w:p>
    <w:p w14:paraId="638545D6"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The IRS will issue rules around implementing this provision, and states will be able to have their own criteria for approving SGOs, so there is more to come (and possibly more opportunity for more advocacy) before we know exactly the impact and what’</w:t>
      </w:r>
      <w:r w:rsidRPr="001F0456">
        <w:rPr>
          <w:rFonts w:ascii="Verdana" w:hAnsi="Verdana"/>
          <w:color w:val="212121"/>
          <w:sz w:val="22"/>
          <w:szCs w:val="22"/>
          <w:u w:color="212121"/>
          <w:lang w:val="fr-FR"/>
        </w:rPr>
        <w:t>s possible.</w:t>
      </w:r>
    </w:p>
    <w:p w14:paraId="0AD50234" w14:textId="77777777" w:rsidR="00273E80" w:rsidRPr="001F0456" w:rsidRDefault="00273E80" w:rsidP="00273E80">
      <w:pPr>
        <w:pStyle w:val="Body"/>
        <w:numPr>
          <w:ilvl w:val="0"/>
          <w:numId w:val="25"/>
        </w:numPr>
        <w:rPr>
          <w:rFonts w:ascii="Verdana" w:hAnsi="Verdana"/>
          <w:color w:val="212121"/>
          <w:sz w:val="22"/>
          <w:szCs w:val="22"/>
        </w:rPr>
      </w:pPr>
      <w:r w:rsidRPr="001F0456">
        <w:rPr>
          <w:rFonts w:ascii="Verdana" w:hAnsi="Verdana"/>
          <w:color w:val="212121"/>
          <w:sz w:val="22"/>
          <w:szCs w:val="22"/>
          <w:u w:color="212121"/>
        </w:rPr>
        <w:t>The </w:t>
      </w:r>
      <w:hyperlink r:id="rId15" w:history="1">
        <w:r w:rsidRPr="001F0456">
          <w:rPr>
            <w:rStyle w:val="Hyperlink5"/>
            <w:rFonts w:ascii="Verdana" w:hAnsi="Verdana"/>
            <w:sz w:val="22"/>
            <w:szCs w:val="22"/>
          </w:rPr>
          <w:t>estimated cost</w:t>
        </w:r>
      </w:hyperlink>
      <w:r w:rsidRPr="001F0456">
        <w:rPr>
          <w:rFonts w:ascii="Verdana" w:hAnsi="Verdana"/>
          <w:color w:val="212121"/>
          <w:sz w:val="22"/>
          <w:szCs w:val="22"/>
          <w:u w:color="212121"/>
        </w:rPr>
        <w:t> of this tax credit is $8 billion to $51 billion per year, even as our public schools remain underfunded.</w:t>
      </w:r>
    </w:p>
    <w:p w14:paraId="28C2481A" w14:textId="77777777" w:rsidR="00273E80" w:rsidRPr="001F0456" w:rsidRDefault="00273E80" w:rsidP="00273E80">
      <w:pPr>
        <w:pStyle w:val="Body"/>
        <w:rPr>
          <w:rFonts w:ascii="Verdana" w:eastAsia="Arial" w:hAnsi="Verdana" w:cs="Arial"/>
          <w:kern w:val="0"/>
          <w:sz w:val="22"/>
          <w:szCs w:val="22"/>
        </w:rPr>
      </w:pPr>
    </w:p>
    <w:p w14:paraId="4054E4AA" w14:textId="77777777" w:rsidR="00273E80" w:rsidRPr="002B5F64" w:rsidRDefault="00273E80" w:rsidP="00273E80">
      <w:pPr>
        <w:pStyle w:val="Body"/>
        <w:rPr>
          <w:rFonts w:ascii="Frutiger 45 Light" w:eastAsia="Arial" w:hAnsi="Frutiger 45 Light" w:cs="Arial"/>
          <w:b/>
          <w:bCs/>
          <w:kern w:val="0"/>
        </w:rPr>
      </w:pPr>
      <w:r w:rsidRPr="002B5F64">
        <w:rPr>
          <w:rFonts w:ascii="Frutiger 45 Light" w:hAnsi="Frutiger 45 Light"/>
          <w:b/>
          <w:bCs/>
          <w:kern w:val="0"/>
        </w:rPr>
        <w:t>Higher education provisions:</w:t>
      </w:r>
    </w:p>
    <w:p w14:paraId="13D511B9" w14:textId="77777777" w:rsidR="00273E80" w:rsidRPr="001F0456" w:rsidRDefault="00273E80" w:rsidP="00273E80">
      <w:pPr>
        <w:pStyle w:val="Body"/>
        <w:rPr>
          <w:rFonts w:ascii="Verdana" w:eastAsia="Arial" w:hAnsi="Verdana" w:cs="Arial"/>
          <w:kern w:val="0"/>
          <w:sz w:val="22"/>
          <w:szCs w:val="22"/>
        </w:rPr>
      </w:pPr>
    </w:p>
    <w:p w14:paraId="70159004"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Terminates income-contingent repayment plans beginning July 2026; after that, borrowers must choose between a standard repayment plan or the new Repayment Assistance Plan, based on 1 percent to 10 percent of their adjusted gross income.</w:t>
      </w:r>
    </w:p>
    <w:p w14:paraId="0642D0EF"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Ends PLUS loans and subsidized Stafford loans for graduate and professional students starting July 2026.</w:t>
      </w:r>
    </w:p>
    <w:p w14:paraId="4C560E75"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Caps the maximum amount undergraduate, graduate and professional students can borrow.</w:t>
      </w:r>
    </w:p>
    <w:p w14:paraId="1C7569BC"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Sunsets unemployment and economic hardship deferments for loans disbursed beginning July 2027.</w:t>
      </w:r>
    </w:p>
    <w:p w14:paraId="5F6612DC"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Bars eligibility for borrowers with a student aid index twice or more than the total maximum Pell Grant for the academic year.</w:t>
      </w:r>
    </w:p>
    <w:p w14:paraId="69EE5949"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Bars eligibility for students if they received more than their cost of attendance in aid from other sources.</w:t>
      </w:r>
    </w:p>
    <w:p w14:paraId="77E43DC7"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Establishes a new Workforce Pell Grant beginning in July 2026 for students enrolled in an 8- to15-week program at a higher education institution. This new grant does not include important guardrails to prevent predatory colleges from taking advantage of students via short-term Pell programs.</w:t>
      </w:r>
    </w:p>
    <w:p w14:paraId="0A22E997"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t xml:space="preserve">Bars schools from offering direct federal loans if their graduates from undergraduate programs make less than the median earnings of 25- to 34-year-olds with no higher </w:t>
      </w:r>
      <w:r w:rsidRPr="001F0456">
        <w:rPr>
          <w:rFonts w:ascii="Verdana" w:hAnsi="Verdana"/>
          <w:sz w:val="22"/>
          <w:szCs w:val="22"/>
        </w:rPr>
        <w:t>education credentials. It also adds similar restrictions for graduate programs’ grads.</w:t>
      </w:r>
    </w:p>
    <w:p w14:paraId="786807B7" w14:textId="77777777" w:rsidR="00273E80" w:rsidRPr="001F0456" w:rsidRDefault="00273E80" w:rsidP="00273E80">
      <w:pPr>
        <w:pStyle w:val="ListParagraph"/>
        <w:numPr>
          <w:ilvl w:val="0"/>
          <w:numId w:val="27"/>
        </w:numPr>
        <w:rPr>
          <w:rFonts w:ascii="Verdana" w:hAnsi="Verdana"/>
          <w:sz w:val="22"/>
          <w:szCs w:val="22"/>
        </w:rPr>
      </w:pPr>
      <w:r w:rsidRPr="001F0456">
        <w:rPr>
          <w:rFonts w:ascii="Verdana" w:hAnsi="Verdana"/>
          <w:kern w:val="0"/>
          <w:sz w:val="22"/>
          <w:szCs w:val="22"/>
        </w:rPr>
        <w:lastRenderedPageBreak/>
        <w:t xml:space="preserve">Delays </w:t>
      </w:r>
      <w:r w:rsidRPr="001F0456">
        <w:rPr>
          <w:rFonts w:ascii="Verdana" w:hAnsi="Verdana"/>
          <w:sz w:val="22"/>
          <w:szCs w:val="22"/>
        </w:rPr>
        <w:t xml:space="preserve">for 10 years the Biden-era borrower defense rule to protect defrauded students and hold predatory colleges accountable for their actions, reinstating a rule from former Education Secretary Betsy DeVos that means only 3 percent of scammed students will get relief. Similarly, the law delays implementation for 10 years of Biden-era closed school discharge rules. </w:t>
      </w:r>
      <w:r w:rsidRPr="001F0456">
        <w:rPr>
          <w:rFonts w:ascii="Verdana" w:hAnsi="Verdana"/>
          <w:kern w:val="0"/>
          <w:sz w:val="22"/>
          <w:szCs w:val="22"/>
        </w:rPr>
        <w:t>Implementation of portions of Biden-era rules on loan discharges will be tied to school fraud for loans made before July 2035.</w:t>
      </w:r>
    </w:p>
    <w:p w14:paraId="646E13B1" w14:textId="4F4377F5" w:rsidR="00B22C1D" w:rsidRPr="001F0456" w:rsidRDefault="00B22C1D">
      <w:pPr>
        <w:rPr>
          <w:rFonts w:ascii="Verdana" w:eastAsia="Aptos" w:hAnsi="Verdana" w:cs="Aptos"/>
          <w:b/>
          <w:bCs/>
          <w:color w:val="000000"/>
          <w:kern w:val="2"/>
          <w:sz w:val="22"/>
          <w:szCs w:val="22"/>
          <w:u w:color="000000"/>
          <w14:textOutline w14:w="0" w14:cap="flat" w14:cmpd="sng" w14:algn="ctr">
            <w14:noFill/>
            <w14:prstDash w14:val="solid"/>
            <w14:bevel/>
          </w14:textOutline>
        </w:rPr>
      </w:pPr>
      <w:r w:rsidRPr="001F0456">
        <w:rPr>
          <w:rFonts w:ascii="Verdana" w:hAnsi="Verdana"/>
          <w:b/>
          <w:bCs/>
          <w:sz w:val="22"/>
          <w:szCs w:val="22"/>
        </w:rPr>
        <w:br w:type="page"/>
      </w:r>
    </w:p>
    <w:p w14:paraId="6DF65A8B" w14:textId="1997FD63" w:rsidR="00B22C1D" w:rsidRPr="002B5F64" w:rsidRDefault="00B22C1D" w:rsidP="00B22C1D">
      <w:pPr>
        <w:pStyle w:val="Body"/>
        <w:jc w:val="center"/>
        <w:rPr>
          <w:rFonts w:ascii="Frutiger 45 Light" w:eastAsia="Arial" w:hAnsi="Frutiger 45 Light" w:cs="Arial"/>
          <w:b/>
          <w:bCs/>
          <w:sz w:val="28"/>
          <w:szCs w:val="28"/>
        </w:rPr>
      </w:pPr>
      <w:r w:rsidRPr="002B5F64">
        <w:rPr>
          <w:rFonts w:ascii="Frutiger 45 Light" w:hAnsi="Frutiger 45 Light"/>
          <w:b/>
          <w:bCs/>
          <w:sz w:val="28"/>
          <w:szCs w:val="28"/>
        </w:rPr>
        <w:lastRenderedPageBreak/>
        <w:t>Key Energy Provisions in the One Big Beautiful Bill Act</w:t>
      </w:r>
      <w:r w:rsidRPr="002B5F64" w:rsidDel="00FE3E62">
        <w:rPr>
          <w:rFonts w:ascii="Frutiger 45 Light" w:hAnsi="Frutiger 45 Light"/>
          <w:b/>
          <w:bCs/>
          <w:sz w:val="28"/>
          <w:szCs w:val="28"/>
        </w:rPr>
        <w:t xml:space="preserve"> </w:t>
      </w:r>
    </w:p>
    <w:p w14:paraId="24D04391" w14:textId="77777777" w:rsidR="00A11840" w:rsidRPr="001F0456" w:rsidRDefault="00A11840">
      <w:pPr>
        <w:pStyle w:val="Body"/>
        <w:rPr>
          <w:rFonts w:ascii="Verdana" w:eastAsia="Arial" w:hAnsi="Verdana" w:cs="Arial"/>
          <w:sz w:val="22"/>
          <w:szCs w:val="22"/>
        </w:rPr>
      </w:pPr>
    </w:p>
    <w:p w14:paraId="64BCD8DB" w14:textId="0DF24DB3" w:rsidR="00A11840" w:rsidRPr="001F0456" w:rsidRDefault="00273E80">
      <w:pPr>
        <w:pStyle w:val="Body"/>
        <w:rPr>
          <w:rFonts w:ascii="Verdana" w:eastAsia="Arial" w:hAnsi="Verdana" w:cs="Arial"/>
          <w:sz w:val="22"/>
          <w:szCs w:val="22"/>
        </w:rPr>
      </w:pPr>
      <w:r w:rsidRPr="001F0456">
        <w:rPr>
          <w:rFonts w:ascii="Verdana" w:hAnsi="Verdana"/>
          <w:sz w:val="22"/>
          <w:szCs w:val="22"/>
        </w:rPr>
        <w:t xml:space="preserve">The law will claw back federal support for renewables, rescind unspent Inflation Reduction Act funds, raise electricity costs and loosen select permitting hurdles to encourage additional fossil fuel production. </w:t>
      </w:r>
    </w:p>
    <w:p w14:paraId="3BD838D4" w14:textId="77777777" w:rsidR="00A11840" w:rsidRPr="001F0456" w:rsidRDefault="00A11840">
      <w:pPr>
        <w:pStyle w:val="Body"/>
        <w:rPr>
          <w:rFonts w:ascii="Verdana" w:eastAsia="Arial" w:hAnsi="Verdana" w:cs="Arial"/>
          <w:sz w:val="22"/>
          <w:szCs w:val="22"/>
        </w:rPr>
      </w:pPr>
    </w:p>
    <w:tbl>
      <w:tblPr>
        <w:tblStyle w:val="TableGrid"/>
        <w:tblW w:w="0" w:type="auto"/>
        <w:jc w:val="center"/>
        <w:tblLook w:val="04A0" w:firstRow="1" w:lastRow="0" w:firstColumn="1" w:lastColumn="0" w:noHBand="0" w:noVBand="1"/>
      </w:tblPr>
      <w:tblGrid>
        <w:gridCol w:w="10214"/>
      </w:tblGrid>
      <w:tr w:rsidR="002B5F64" w:rsidRPr="002B5F64" w14:paraId="7C52EC91" w14:textId="77777777" w:rsidTr="00292710">
        <w:trPr>
          <w:trHeight w:val="545"/>
          <w:jc w:val="center"/>
        </w:trPr>
        <w:tc>
          <w:tcPr>
            <w:tcW w:w="10214" w:type="dxa"/>
            <w:tcBorders>
              <w:bottom w:val="single" w:sz="4" w:space="0" w:color="auto"/>
            </w:tcBorders>
            <w:shd w:val="clear" w:color="auto" w:fill="0F4761" w:themeFill="accent1" w:themeFillShade="BF"/>
            <w:vAlign w:val="center"/>
          </w:tcPr>
          <w:p w14:paraId="595711CE" w14:textId="77777777" w:rsidR="002B5F64" w:rsidRPr="004258DD" w:rsidRDefault="002B5F64" w:rsidP="00B534A8">
            <w:pPr>
              <w:pStyle w:val="Body"/>
              <w:rPr>
                <w:rFonts w:ascii="Frutiger 45 Light" w:eastAsia="Arial" w:hAnsi="Frutiger 45 Light" w:cs="Arial"/>
                <w:b/>
                <w:bCs/>
                <w:color w:val="FFFFFF" w:themeColor="background1"/>
              </w:rPr>
            </w:pPr>
            <w:r w:rsidRPr="004258DD">
              <w:rPr>
                <w:rFonts w:ascii="Frutiger 45 Light" w:hAnsi="Frutiger 45 Light"/>
                <w:b/>
                <w:bCs/>
                <w:color w:val="FFFFFF" w:themeColor="background1"/>
              </w:rPr>
              <w:t>What it means for AFT members:</w:t>
            </w:r>
          </w:p>
        </w:tc>
      </w:tr>
      <w:tr w:rsidR="002B5F64" w:rsidRPr="002B5F64" w14:paraId="7CE4A5A9" w14:textId="77777777" w:rsidTr="00292710">
        <w:trPr>
          <w:jc w:val="center"/>
        </w:trPr>
        <w:tc>
          <w:tcPr>
            <w:tcW w:w="10214" w:type="dxa"/>
            <w:tcBorders>
              <w:bottom w:val="nil"/>
            </w:tcBorders>
            <w:vAlign w:val="center"/>
          </w:tcPr>
          <w:p w14:paraId="20447261" w14:textId="77777777" w:rsidR="002B5F64" w:rsidRPr="002B5F64" w:rsidRDefault="002B5F64" w:rsidP="00B534A8">
            <w:pPr>
              <w:pStyle w:val="ListParagraph"/>
              <w:numPr>
                <w:ilvl w:val="0"/>
                <w:numId w:val="13"/>
              </w:numPr>
              <w:shd w:val="clear" w:color="auto" w:fill="FFFFFF"/>
              <w:spacing w:after="165"/>
              <w:rPr>
                <w:rFonts w:ascii="Verdana" w:hAnsi="Verdana"/>
                <w:sz w:val="22"/>
                <w:szCs w:val="22"/>
              </w:rPr>
            </w:pPr>
            <w:r w:rsidRPr="002B5F64">
              <w:rPr>
                <w:rFonts w:ascii="Verdana" w:hAnsi="Verdana"/>
                <w:sz w:val="22"/>
                <w:szCs w:val="22"/>
              </w:rPr>
              <w:t xml:space="preserve">Attacks </w:t>
            </w:r>
            <w:r w:rsidRPr="002B5F64">
              <w:rPr>
                <w:rFonts w:ascii="Verdana" w:hAnsi="Verdana"/>
                <w:kern w:val="0"/>
                <w:sz w:val="22"/>
                <w:szCs w:val="22"/>
              </w:rPr>
              <w:t xml:space="preserve">clean energy tax credits, risking </w:t>
            </w:r>
            <w:r w:rsidRPr="002B5F64">
              <w:rPr>
                <w:rFonts w:ascii="Verdana" w:hAnsi="Verdana"/>
                <w:sz w:val="22"/>
                <w:szCs w:val="22"/>
              </w:rPr>
              <w:t>more than 40</w:t>
            </w:r>
            <w:r w:rsidRPr="002B5F64">
              <w:rPr>
                <w:rFonts w:ascii="Verdana" w:hAnsi="Verdana"/>
                <w:kern w:val="0"/>
                <w:sz w:val="22"/>
                <w:szCs w:val="22"/>
              </w:rPr>
              <w:t>0,000 well-paying jobs, including union construction and skilled trades positions, and making it harder for public schools and public buildings to upgrade their energy systems.</w:t>
            </w:r>
          </w:p>
        </w:tc>
      </w:tr>
      <w:tr w:rsidR="002B5F64" w:rsidRPr="002B5F64" w14:paraId="221FC317" w14:textId="77777777" w:rsidTr="00292710">
        <w:trPr>
          <w:jc w:val="center"/>
        </w:trPr>
        <w:tc>
          <w:tcPr>
            <w:tcW w:w="10214" w:type="dxa"/>
            <w:tcBorders>
              <w:top w:val="nil"/>
              <w:bottom w:val="nil"/>
            </w:tcBorders>
            <w:vAlign w:val="center"/>
          </w:tcPr>
          <w:p w14:paraId="6AB44DF6" w14:textId="77777777" w:rsidR="002B5F64" w:rsidRPr="002B5F64" w:rsidRDefault="002B5F64" w:rsidP="00B534A8">
            <w:pPr>
              <w:pStyle w:val="ListParagraph"/>
              <w:numPr>
                <w:ilvl w:val="0"/>
                <w:numId w:val="13"/>
              </w:numPr>
              <w:shd w:val="clear" w:color="auto" w:fill="FFFFFF"/>
              <w:spacing w:after="165"/>
              <w:rPr>
                <w:rFonts w:ascii="Verdana" w:hAnsi="Verdana"/>
                <w:sz w:val="22"/>
                <w:szCs w:val="22"/>
              </w:rPr>
            </w:pPr>
            <w:r w:rsidRPr="002B5F64">
              <w:rPr>
                <w:rFonts w:ascii="Verdana" w:hAnsi="Verdana"/>
                <w:sz w:val="22"/>
                <w:szCs w:val="22"/>
              </w:rPr>
              <w:t>Tax credits for solar, energy storage, thermal storage, electric vehicles and charging infrastructure will sunset much sooner and in many cases will become unworkable for schools.</w:t>
            </w:r>
          </w:p>
        </w:tc>
      </w:tr>
      <w:tr w:rsidR="002B5F64" w:rsidRPr="002B5F64" w14:paraId="13A843F0" w14:textId="77777777" w:rsidTr="00292710">
        <w:trPr>
          <w:jc w:val="center"/>
        </w:trPr>
        <w:tc>
          <w:tcPr>
            <w:tcW w:w="10214" w:type="dxa"/>
            <w:tcBorders>
              <w:top w:val="nil"/>
              <w:bottom w:val="nil"/>
            </w:tcBorders>
            <w:vAlign w:val="center"/>
          </w:tcPr>
          <w:p w14:paraId="378C1256" w14:textId="77777777" w:rsidR="002B5F64" w:rsidRPr="002B5F64" w:rsidRDefault="002B5F64" w:rsidP="00B534A8">
            <w:pPr>
              <w:pStyle w:val="ListParagraph"/>
              <w:numPr>
                <w:ilvl w:val="0"/>
                <w:numId w:val="13"/>
              </w:numPr>
              <w:shd w:val="clear" w:color="auto" w:fill="FFFFFF"/>
              <w:spacing w:after="165"/>
              <w:rPr>
                <w:rFonts w:ascii="Verdana" w:hAnsi="Verdana"/>
                <w:sz w:val="22"/>
                <w:szCs w:val="22"/>
              </w:rPr>
            </w:pPr>
            <w:r w:rsidRPr="002B5F64">
              <w:rPr>
                <w:rFonts w:ascii="Verdana" w:hAnsi="Verdana"/>
                <w:color w:val="212121"/>
                <w:sz w:val="22"/>
                <w:szCs w:val="22"/>
                <w:u w:color="212121"/>
              </w:rPr>
              <w:t>However, there were no material changes to the tax provision that applies to geothermal (also known as ground-source) heat pumps. This tax credit remains available to schools with no changes.</w:t>
            </w:r>
          </w:p>
        </w:tc>
      </w:tr>
      <w:tr w:rsidR="002B5F64" w:rsidRPr="001F0456" w14:paraId="5B8C7DF4" w14:textId="77777777" w:rsidTr="00292710">
        <w:trPr>
          <w:jc w:val="center"/>
        </w:trPr>
        <w:tc>
          <w:tcPr>
            <w:tcW w:w="10214" w:type="dxa"/>
            <w:tcBorders>
              <w:top w:val="nil"/>
            </w:tcBorders>
            <w:vAlign w:val="center"/>
          </w:tcPr>
          <w:p w14:paraId="394307BC" w14:textId="77777777" w:rsidR="002B5F64" w:rsidRPr="001F0456" w:rsidRDefault="002B5F64" w:rsidP="00B534A8">
            <w:pPr>
              <w:pStyle w:val="ListParagraph"/>
              <w:numPr>
                <w:ilvl w:val="0"/>
                <w:numId w:val="13"/>
              </w:numPr>
              <w:shd w:val="clear" w:color="auto" w:fill="FFFFFF"/>
              <w:spacing w:after="165"/>
              <w:rPr>
                <w:rFonts w:ascii="Verdana" w:hAnsi="Verdana"/>
                <w:color w:val="212121"/>
                <w:sz w:val="22"/>
                <w:szCs w:val="22"/>
              </w:rPr>
            </w:pPr>
            <w:r w:rsidRPr="002B5F64">
              <w:rPr>
                <w:rFonts w:ascii="Verdana" w:hAnsi="Verdana"/>
                <w:kern w:val="0"/>
                <w:sz w:val="22"/>
                <w:szCs w:val="22"/>
              </w:rPr>
              <w:t xml:space="preserve">Hikes energy bills </w:t>
            </w:r>
            <w:r w:rsidRPr="002B5F64">
              <w:rPr>
                <w:rFonts w:ascii="Verdana" w:hAnsi="Verdana"/>
                <w:sz w:val="22"/>
                <w:szCs w:val="22"/>
              </w:rPr>
              <w:t>by more than $110 next year and nearly $400 in the next decade</w:t>
            </w:r>
            <w:r w:rsidRPr="002B5F64">
              <w:rPr>
                <w:rFonts w:ascii="Verdana" w:hAnsi="Verdana"/>
                <w:kern w:val="0"/>
                <w:sz w:val="22"/>
                <w:szCs w:val="22"/>
              </w:rPr>
              <w:t xml:space="preserve"> for working families, hurting household finances and small-business owners the most</w:t>
            </w:r>
            <w:r w:rsidRPr="002B5F64">
              <w:rPr>
                <w:rFonts w:ascii="Verdana" w:hAnsi="Verdana"/>
                <w:sz w:val="22"/>
                <w:szCs w:val="22"/>
              </w:rPr>
              <w:t xml:space="preserve">. The law </w:t>
            </w:r>
            <w:r w:rsidRPr="002B5F64">
              <w:rPr>
                <w:rFonts w:ascii="Verdana" w:hAnsi="Verdana"/>
                <w:color w:val="151515"/>
                <w:sz w:val="22"/>
                <w:szCs w:val="22"/>
                <w:u w:color="151515"/>
                <w:shd w:val="clear" w:color="auto" w:fill="FFFFFF"/>
              </w:rPr>
              <w:t>recklessly </w:t>
            </w:r>
            <w:hyperlink r:id="rId16" w:history="1">
              <w:r w:rsidRPr="002B5F64">
                <w:rPr>
                  <w:rStyle w:val="Hyperlink2"/>
                  <w:rFonts w:ascii="Verdana" w:hAnsi="Verdana"/>
                  <w:sz w:val="22"/>
                  <w:szCs w:val="22"/>
                </w:rPr>
                <w:t>repeals</w:t>
              </w:r>
            </w:hyperlink>
            <w:r w:rsidRPr="002B5F64">
              <w:rPr>
                <w:rFonts w:ascii="Verdana" w:hAnsi="Verdana"/>
                <w:color w:val="151515"/>
                <w:sz w:val="22"/>
                <w:szCs w:val="22"/>
                <w:u w:color="151515"/>
                <w:shd w:val="clear" w:color="auto" w:fill="FFFFFF"/>
              </w:rPr>
              <w:t> lifesaving incentives for weather resilience, energy efficiency and improved air quality in American communities. Baked into the law are </w:t>
            </w:r>
            <w:hyperlink r:id="rId17" w:history="1">
              <w:r w:rsidRPr="002B5F64">
                <w:rPr>
                  <w:rStyle w:val="Hyperlink2"/>
                  <w:rFonts w:ascii="Verdana" w:hAnsi="Verdana"/>
                  <w:sz w:val="22"/>
                  <w:szCs w:val="22"/>
                </w:rPr>
                <w:t>cuts</w:t>
              </w:r>
            </w:hyperlink>
            <w:r w:rsidRPr="002B5F64">
              <w:rPr>
                <w:rFonts w:ascii="Verdana" w:hAnsi="Verdana"/>
                <w:color w:val="151515"/>
                <w:sz w:val="22"/>
                <w:szCs w:val="22"/>
                <w:u w:color="151515"/>
                <w:shd w:val="clear" w:color="auto" w:fill="FFFFFF"/>
              </w:rPr>
              <w:t> to the Inflation Reduction Act’s </w:t>
            </w:r>
            <w:hyperlink r:id="rId18" w:history="1">
              <w:r w:rsidRPr="002B5F64">
                <w:rPr>
                  <w:rStyle w:val="Hyperlink2"/>
                  <w:rFonts w:ascii="Verdana" w:hAnsi="Verdana"/>
                  <w:sz w:val="22"/>
                  <w:szCs w:val="22"/>
                </w:rPr>
                <w:t>federally funded initiatives</w:t>
              </w:r>
            </w:hyperlink>
            <w:r w:rsidRPr="002B5F64">
              <w:rPr>
                <w:rFonts w:ascii="Verdana" w:hAnsi="Verdana"/>
                <w:color w:val="151515"/>
                <w:sz w:val="22"/>
                <w:szCs w:val="22"/>
                <w:u w:color="151515"/>
                <w:shd w:val="clear" w:color="auto" w:fill="FFFFFF"/>
              </w:rPr>
              <w:t>, such as air pollution monitoring, cleaning up ports, home energy efficiency upgrades and emissions-free school buses.</w:t>
            </w:r>
          </w:p>
        </w:tc>
      </w:tr>
    </w:tbl>
    <w:p w14:paraId="3F70CEFA" w14:textId="6D330516" w:rsidR="00A11840" w:rsidRPr="001F0456" w:rsidRDefault="00A11840" w:rsidP="001339A0">
      <w:pPr>
        <w:pStyle w:val="ListParagraph"/>
        <w:shd w:val="clear" w:color="auto" w:fill="FFFFFF"/>
        <w:spacing w:after="165"/>
        <w:rPr>
          <w:rFonts w:ascii="Verdana" w:hAnsi="Verdana"/>
          <w:color w:val="212121"/>
          <w:sz w:val="22"/>
          <w:szCs w:val="22"/>
        </w:rPr>
      </w:pPr>
    </w:p>
    <w:p w14:paraId="65C12289" w14:textId="3D9FB512" w:rsidR="00A11840" w:rsidRPr="001F0456" w:rsidRDefault="000B595F">
      <w:pPr>
        <w:pStyle w:val="Body"/>
        <w:shd w:val="clear" w:color="auto" w:fill="FFFFFF"/>
        <w:spacing w:after="165"/>
        <w:rPr>
          <w:rFonts w:ascii="Verdana" w:hAnsi="Verdana"/>
          <w:b/>
          <w:bCs/>
          <w:kern w:val="0"/>
          <w:sz w:val="22"/>
          <w:szCs w:val="22"/>
        </w:rPr>
      </w:pPr>
      <w:r w:rsidRPr="001F0456">
        <w:rPr>
          <w:rFonts w:ascii="Verdana" w:hAnsi="Verdana"/>
          <w:b/>
          <w:bCs/>
          <w:kern w:val="0"/>
          <w:sz w:val="22"/>
          <w:szCs w:val="22"/>
        </w:rPr>
        <w:t xml:space="preserve">Energy </w:t>
      </w:r>
      <w:r w:rsidR="009B5933" w:rsidRPr="001F0456">
        <w:rPr>
          <w:rFonts w:ascii="Verdana" w:hAnsi="Verdana"/>
          <w:b/>
          <w:bCs/>
          <w:kern w:val="0"/>
          <w:sz w:val="22"/>
          <w:szCs w:val="22"/>
        </w:rPr>
        <w:t>p</w:t>
      </w:r>
      <w:r w:rsidRPr="001F0456">
        <w:rPr>
          <w:rFonts w:ascii="Verdana" w:hAnsi="Verdana"/>
          <w:b/>
          <w:bCs/>
          <w:kern w:val="0"/>
          <w:sz w:val="22"/>
          <w:szCs w:val="22"/>
        </w:rPr>
        <w:t>rovisions</w:t>
      </w:r>
      <w:r w:rsidR="009B5933" w:rsidRPr="001F0456">
        <w:rPr>
          <w:rFonts w:ascii="Verdana" w:hAnsi="Verdana"/>
          <w:b/>
          <w:bCs/>
          <w:kern w:val="0"/>
          <w:sz w:val="22"/>
          <w:szCs w:val="22"/>
        </w:rPr>
        <w:t>:</w:t>
      </w:r>
    </w:p>
    <w:p w14:paraId="3D56DA2E" w14:textId="77777777" w:rsidR="00A11840" w:rsidRPr="001F0456" w:rsidRDefault="00273E80">
      <w:pPr>
        <w:pStyle w:val="ListParagraph"/>
        <w:numPr>
          <w:ilvl w:val="0"/>
          <w:numId w:val="15"/>
        </w:numPr>
        <w:shd w:val="clear" w:color="auto" w:fill="FFFFFF"/>
        <w:spacing w:after="165"/>
        <w:rPr>
          <w:rFonts w:ascii="Verdana" w:hAnsi="Verdana"/>
          <w:sz w:val="22"/>
          <w:szCs w:val="22"/>
        </w:rPr>
      </w:pPr>
      <w:r w:rsidRPr="001F0456">
        <w:rPr>
          <w:rFonts w:ascii="Verdana" w:hAnsi="Verdana"/>
          <w:sz w:val="22"/>
          <w:szCs w:val="22"/>
        </w:rPr>
        <w:t>Claws back critical tax credits for clean energy, clean vehicles, home efficiency and clean manufacturing.</w:t>
      </w:r>
    </w:p>
    <w:p w14:paraId="47FCEC94" w14:textId="2DCC826C" w:rsidR="00A11840" w:rsidRPr="001F0456" w:rsidRDefault="00273E80">
      <w:pPr>
        <w:pStyle w:val="ListParagraph"/>
        <w:numPr>
          <w:ilvl w:val="0"/>
          <w:numId w:val="15"/>
        </w:numPr>
        <w:shd w:val="clear" w:color="auto" w:fill="FFFFFF"/>
        <w:spacing w:after="165"/>
        <w:rPr>
          <w:rFonts w:ascii="Verdana" w:hAnsi="Verdana"/>
          <w:sz w:val="22"/>
          <w:szCs w:val="22"/>
        </w:rPr>
      </w:pPr>
      <w:r w:rsidRPr="001F0456">
        <w:rPr>
          <w:rFonts w:ascii="Verdana" w:hAnsi="Verdana"/>
          <w:sz w:val="22"/>
          <w:szCs w:val="22"/>
        </w:rPr>
        <w:t>Phases out tax credits for wind and solar beginning in 2026 and fully eliminates these credits by 2028, with significant restrictions and requirements around “foreign entity of concern” provisions</w:t>
      </w:r>
      <w:r w:rsidR="006D1A5F" w:rsidRPr="001F0456">
        <w:rPr>
          <w:rFonts w:ascii="Verdana" w:hAnsi="Verdana"/>
          <w:sz w:val="22"/>
          <w:szCs w:val="22"/>
        </w:rPr>
        <w:t>,</w:t>
      </w:r>
      <w:r w:rsidRPr="001F0456">
        <w:rPr>
          <w:rFonts w:ascii="Verdana" w:hAnsi="Verdana"/>
          <w:sz w:val="22"/>
          <w:szCs w:val="22"/>
        </w:rPr>
        <w:t xml:space="preserve"> mak</w:t>
      </w:r>
      <w:r w:rsidR="006D1A5F" w:rsidRPr="001F0456">
        <w:rPr>
          <w:rFonts w:ascii="Verdana" w:hAnsi="Verdana"/>
          <w:sz w:val="22"/>
          <w:szCs w:val="22"/>
        </w:rPr>
        <w:t>ing</w:t>
      </w:r>
      <w:r w:rsidRPr="001F0456">
        <w:rPr>
          <w:rFonts w:ascii="Verdana" w:hAnsi="Verdana"/>
          <w:sz w:val="22"/>
          <w:szCs w:val="22"/>
        </w:rPr>
        <w:t xml:space="preserve"> the clean energy tax credits essentially nonfunctional. </w:t>
      </w:r>
    </w:p>
    <w:p w14:paraId="4D0CC9C0" w14:textId="7AD4CC0F" w:rsidR="00A11840" w:rsidRPr="001F0456" w:rsidRDefault="00273E80">
      <w:pPr>
        <w:pStyle w:val="ListParagraph"/>
        <w:numPr>
          <w:ilvl w:val="0"/>
          <w:numId w:val="15"/>
        </w:numPr>
        <w:shd w:val="clear" w:color="auto" w:fill="FFFFFF"/>
        <w:spacing w:after="165"/>
        <w:rPr>
          <w:rFonts w:ascii="Verdana" w:hAnsi="Verdana"/>
          <w:sz w:val="22"/>
          <w:szCs w:val="22"/>
        </w:rPr>
      </w:pPr>
      <w:r w:rsidRPr="001F0456">
        <w:rPr>
          <w:rFonts w:ascii="Verdana" w:hAnsi="Verdana"/>
          <w:sz w:val="22"/>
          <w:szCs w:val="22"/>
        </w:rPr>
        <w:t>Eliminates tax credits for new and used electric vehicles, commercial clean vehicles and fueling infrastructure, stalling the American-made EV industry</w:t>
      </w:r>
      <w:r w:rsidR="000B595F" w:rsidRPr="001F0456">
        <w:rPr>
          <w:rFonts w:ascii="Verdana" w:hAnsi="Verdana"/>
          <w:sz w:val="22"/>
          <w:szCs w:val="22"/>
        </w:rPr>
        <w:t>,</w:t>
      </w:r>
      <w:r w:rsidRPr="001F0456">
        <w:rPr>
          <w:rFonts w:ascii="Verdana" w:hAnsi="Verdana"/>
          <w:sz w:val="22"/>
          <w:szCs w:val="22"/>
        </w:rPr>
        <w:t xml:space="preserve"> which will result in significant job losses through</w:t>
      </w:r>
      <w:r w:rsidR="000B595F" w:rsidRPr="001F0456">
        <w:rPr>
          <w:rFonts w:ascii="Verdana" w:hAnsi="Verdana"/>
          <w:sz w:val="22"/>
          <w:szCs w:val="22"/>
        </w:rPr>
        <w:t>out</w:t>
      </w:r>
      <w:r w:rsidRPr="001F0456">
        <w:rPr>
          <w:rFonts w:ascii="Verdana" w:hAnsi="Verdana"/>
          <w:sz w:val="22"/>
          <w:szCs w:val="22"/>
        </w:rPr>
        <w:t xml:space="preserve"> the auto industry. </w:t>
      </w:r>
    </w:p>
    <w:p w14:paraId="7EA4985F" w14:textId="19B4385C" w:rsidR="00A11840" w:rsidRPr="001F0456" w:rsidRDefault="00273E80">
      <w:pPr>
        <w:pStyle w:val="ListParagraph"/>
        <w:numPr>
          <w:ilvl w:val="0"/>
          <w:numId w:val="15"/>
        </w:numPr>
        <w:shd w:val="clear" w:color="auto" w:fill="FFFFFF"/>
        <w:spacing w:after="165"/>
        <w:rPr>
          <w:rFonts w:ascii="Verdana" w:hAnsi="Verdana"/>
          <w:sz w:val="22"/>
          <w:szCs w:val="22"/>
        </w:rPr>
      </w:pPr>
      <w:r w:rsidRPr="001F0456">
        <w:rPr>
          <w:rFonts w:ascii="Verdana" w:hAnsi="Verdana"/>
          <w:sz w:val="22"/>
          <w:szCs w:val="22"/>
        </w:rPr>
        <w:t>Accelerates phase</w:t>
      </w:r>
      <w:r w:rsidR="000B595F" w:rsidRPr="001F0456">
        <w:rPr>
          <w:rFonts w:ascii="Verdana" w:hAnsi="Verdana"/>
          <w:sz w:val="22"/>
          <w:szCs w:val="22"/>
        </w:rPr>
        <w:t>-</w:t>
      </w:r>
      <w:r w:rsidRPr="001F0456">
        <w:rPr>
          <w:rFonts w:ascii="Verdana" w:hAnsi="Verdana"/>
          <w:sz w:val="22"/>
          <w:szCs w:val="22"/>
        </w:rPr>
        <w:t>outs of tax credits that support American businesses and supply chains that have brought billions of investments to the U.S.</w:t>
      </w:r>
    </w:p>
    <w:p w14:paraId="0B767B9C" w14:textId="6ABA176D" w:rsidR="00A11840" w:rsidRPr="001F0456" w:rsidRDefault="00273E80">
      <w:pPr>
        <w:pStyle w:val="ListParagraph"/>
        <w:numPr>
          <w:ilvl w:val="0"/>
          <w:numId w:val="15"/>
        </w:numPr>
        <w:shd w:val="clear" w:color="auto" w:fill="FFFFFF"/>
        <w:spacing w:after="165"/>
        <w:rPr>
          <w:rFonts w:ascii="Verdana" w:hAnsi="Verdana"/>
          <w:sz w:val="22"/>
          <w:szCs w:val="22"/>
        </w:rPr>
      </w:pPr>
      <w:r w:rsidRPr="001F0456">
        <w:rPr>
          <w:rFonts w:ascii="Verdana" w:hAnsi="Verdana"/>
          <w:sz w:val="22"/>
          <w:szCs w:val="22"/>
        </w:rPr>
        <w:t>Cuts tax credits that make homes and buildings more efficient and more affordable to operate.</w:t>
      </w:r>
    </w:p>
    <w:p w14:paraId="12DB395F" w14:textId="6887204B" w:rsidR="00A11840" w:rsidRPr="001F0456" w:rsidRDefault="00273E80" w:rsidP="00C44E18">
      <w:pPr>
        <w:pStyle w:val="ListParagraph"/>
        <w:numPr>
          <w:ilvl w:val="0"/>
          <w:numId w:val="15"/>
        </w:numPr>
        <w:shd w:val="clear" w:color="auto" w:fill="FFFFFF"/>
        <w:spacing w:after="165"/>
        <w:rPr>
          <w:rFonts w:ascii="Verdana" w:eastAsia="Arial" w:hAnsi="Verdana" w:cs="Arial"/>
          <w:sz w:val="22"/>
          <w:szCs w:val="22"/>
        </w:rPr>
      </w:pPr>
      <w:r w:rsidRPr="001F0456">
        <w:rPr>
          <w:rFonts w:ascii="Verdana" w:hAnsi="Verdana"/>
          <w:kern w:val="0"/>
          <w:sz w:val="22"/>
          <w:szCs w:val="22"/>
        </w:rPr>
        <w:t xml:space="preserve">Rescinds </w:t>
      </w:r>
      <w:r w:rsidR="000B595F" w:rsidRPr="001F0456">
        <w:rPr>
          <w:rFonts w:ascii="Verdana" w:hAnsi="Verdana"/>
          <w:sz w:val="22"/>
          <w:szCs w:val="22"/>
        </w:rPr>
        <w:t xml:space="preserve">Inflation Reduction Act </w:t>
      </w:r>
      <w:r w:rsidRPr="001F0456">
        <w:rPr>
          <w:rFonts w:ascii="Verdana" w:hAnsi="Verdana"/>
          <w:kern w:val="0"/>
          <w:sz w:val="22"/>
          <w:szCs w:val="22"/>
        </w:rPr>
        <w:t>funds for certain programs</w:t>
      </w:r>
      <w:r w:rsidR="000B595F" w:rsidRPr="001F0456">
        <w:rPr>
          <w:rFonts w:ascii="Verdana" w:hAnsi="Verdana"/>
          <w:sz w:val="22"/>
          <w:szCs w:val="22"/>
        </w:rPr>
        <w:t xml:space="preserve"> and</w:t>
      </w:r>
      <w:r w:rsidR="0094031E" w:rsidRPr="001F0456">
        <w:rPr>
          <w:rFonts w:ascii="Verdana" w:hAnsi="Verdana"/>
          <w:sz w:val="22"/>
          <w:szCs w:val="22"/>
        </w:rPr>
        <w:t xml:space="preserve"> </w:t>
      </w:r>
      <w:r w:rsidRPr="001F0456">
        <w:rPr>
          <w:rFonts w:ascii="Verdana" w:hAnsi="Verdana"/>
          <w:sz w:val="22"/>
          <w:szCs w:val="22"/>
        </w:rPr>
        <w:t xml:space="preserve">unobligated balances for a variety of grant and financing programs created under the </w:t>
      </w:r>
      <w:r w:rsidR="000B595F" w:rsidRPr="001F0456">
        <w:rPr>
          <w:rFonts w:ascii="Verdana" w:hAnsi="Verdana"/>
          <w:sz w:val="22"/>
          <w:szCs w:val="22"/>
        </w:rPr>
        <w:t xml:space="preserve">IRA, </w:t>
      </w:r>
      <w:r w:rsidRPr="001F0456">
        <w:rPr>
          <w:rFonts w:ascii="Verdana" w:hAnsi="Verdana"/>
          <w:sz w:val="22"/>
          <w:szCs w:val="22"/>
        </w:rPr>
        <w:t>including remaining funding for the environmental and climate justice block grants.</w:t>
      </w:r>
    </w:p>
    <w:p w14:paraId="7529622D" w14:textId="77777777" w:rsidR="005C788C" w:rsidRPr="001F0456" w:rsidRDefault="005C788C">
      <w:pPr>
        <w:rPr>
          <w:rFonts w:ascii="Verdana" w:eastAsia="Aptos" w:hAnsi="Verdana" w:cs="Aptos"/>
          <w:b/>
          <w:bCs/>
          <w:color w:val="000000"/>
          <w:kern w:val="2"/>
          <w:sz w:val="22"/>
          <w:szCs w:val="22"/>
          <w:u w:color="000000"/>
          <w14:textOutline w14:w="0" w14:cap="flat" w14:cmpd="sng" w14:algn="ctr">
            <w14:noFill/>
            <w14:prstDash w14:val="solid"/>
            <w14:bevel/>
          </w14:textOutline>
        </w:rPr>
      </w:pPr>
      <w:r w:rsidRPr="001F0456">
        <w:rPr>
          <w:rFonts w:ascii="Verdana" w:hAnsi="Verdana"/>
          <w:b/>
          <w:bCs/>
          <w:sz w:val="22"/>
          <w:szCs w:val="22"/>
        </w:rPr>
        <w:br w:type="page"/>
      </w:r>
    </w:p>
    <w:p w14:paraId="4FA83C27" w14:textId="21A72AC2" w:rsidR="005C788C" w:rsidRDefault="005C788C" w:rsidP="005C788C">
      <w:pPr>
        <w:pStyle w:val="Body"/>
        <w:jc w:val="center"/>
        <w:rPr>
          <w:rFonts w:ascii="Frutiger 45 Light" w:hAnsi="Frutiger 45 Light"/>
          <w:b/>
          <w:bCs/>
          <w:sz w:val="28"/>
          <w:szCs w:val="28"/>
        </w:rPr>
      </w:pPr>
      <w:r w:rsidRPr="004258DD">
        <w:rPr>
          <w:rFonts w:ascii="Frutiger 45 Light" w:hAnsi="Frutiger 45 Light"/>
          <w:b/>
          <w:bCs/>
          <w:sz w:val="28"/>
          <w:szCs w:val="28"/>
        </w:rPr>
        <w:lastRenderedPageBreak/>
        <w:t>Key Nutrition Provisions in the One Big Beautiful Bill Act</w:t>
      </w:r>
      <w:r w:rsidRPr="004258DD" w:rsidDel="00FE3E62">
        <w:rPr>
          <w:rFonts w:ascii="Frutiger 45 Light" w:hAnsi="Frutiger 45 Light"/>
          <w:b/>
          <w:bCs/>
          <w:sz w:val="28"/>
          <w:szCs w:val="28"/>
        </w:rPr>
        <w:t xml:space="preserve"> </w:t>
      </w:r>
    </w:p>
    <w:p w14:paraId="6BF97FDD" w14:textId="77777777" w:rsidR="009A5679" w:rsidRPr="004258DD" w:rsidRDefault="009A5679" w:rsidP="005C788C">
      <w:pPr>
        <w:pStyle w:val="Body"/>
        <w:jc w:val="center"/>
        <w:rPr>
          <w:rFonts w:ascii="Frutiger 45 Light" w:eastAsia="Arial" w:hAnsi="Frutiger 45 Light" w:cs="Arial"/>
          <w:b/>
          <w:bCs/>
          <w:sz w:val="28"/>
          <w:szCs w:val="28"/>
        </w:rPr>
      </w:pPr>
    </w:p>
    <w:tbl>
      <w:tblPr>
        <w:tblStyle w:val="TableGrid"/>
        <w:tblpPr w:leftFromText="180" w:rightFromText="180" w:vertAnchor="text" w:tblpY="19"/>
        <w:tblW w:w="0" w:type="auto"/>
        <w:tblLook w:val="04A0" w:firstRow="1" w:lastRow="0" w:firstColumn="1" w:lastColumn="0" w:noHBand="0" w:noVBand="1"/>
      </w:tblPr>
      <w:tblGrid>
        <w:gridCol w:w="10214"/>
      </w:tblGrid>
      <w:tr w:rsidR="00337874" w14:paraId="46D37179" w14:textId="77777777" w:rsidTr="00337874">
        <w:tc>
          <w:tcPr>
            <w:tcW w:w="10214" w:type="dxa"/>
            <w:shd w:val="clear" w:color="auto" w:fill="0F4761" w:themeFill="accent1" w:themeFillShade="BF"/>
          </w:tcPr>
          <w:p w14:paraId="1452C81B" w14:textId="29245E6F" w:rsidR="00337874" w:rsidRPr="00337874" w:rsidRDefault="00337874" w:rsidP="0033787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65"/>
              <w:rPr>
                <w:rFonts w:ascii="Frutiger 45 Light" w:hAnsi="Frutiger 45 Light"/>
                <w:b/>
                <w:bCs/>
                <w:color w:val="FFFFFF" w:themeColor="background1"/>
                <w:kern w:val="0"/>
              </w:rPr>
            </w:pPr>
            <w:r w:rsidRPr="00337874">
              <w:rPr>
                <w:rFonts w:ascii="Frutiger 45 Light" w:hAnsi="Frutiger 45 Light"/>
                <w:b/>
                <w:bCs/>
                <w:color w:val="FFFFFF" w:themeColor="background1"/>
                <w:kern w:val="0"/>
              </w:rPr>
              <w:t>What it Means for AFT members:</w:t>
            </w:r>
          </w:p>
        </w:tc>
      </w:tr>
    </w:tbl>
    <w:tbl>
      <w:tblPr>
        <w:tblStyle w:val="TableGrid"/>
        <w:tblW w:w="0" w:type="auto"/>
        <w:jc w:val="center"/>
        <w:tblBorders>
          <w:insideH w:val="none" w:sz="0" w:space="0" w:color="auto"/>
        </w:tblBorders>
        <w:tblLook w:val="04A0" w:firstRow="1" w:lastRow="0" w:firstColumn="1" w:lastColumn="0" w:noHBand="0" w:noVBand="1"/>
      </w:tblPr>
      <w:tblGrid>
        <w:gridCol w:w="10214"/>
      </w:tblGrid>
      <w:tr w:rsidR="00EB5292" w:rsidRPr="00EB5292" w14:paraId="11D91236" w14:textId="77777777" w:rsidTr="009A5679">
        <w:trPr>
          <w:jc w:val="center"/>
        </w:trPr>
        <w:tc>
          <w:tcPr>
            <w:tcW w:w="10214" w:type="dxa"/>
            <w:vAlign w:val="center"/>
          </w:tcPr>
          <w:p w14:paraId="24134209" w14:textId="77777777" w:rsidR="00EB5292" w:rsidRPr="00EB5292" w:rsidRDefault="00EB5292" w:rsidP="0095718A">
            <w:pPr>
              <w:pStyle w:val="Body"/>
              <w:numPr>
                <w:ilvl w:val="0"/>
                <w:numId w:val="28"/>
              </w:numPr>
              <w:shd w:val="clear" w:color="auto" w:fill="FFFFFF"/>
              <w:spacing w:after="165"/>
              <w:rPr>
                <w:rFonts w:ascii="Verdana" w:hAnsi="Verdana"/>
                <w:sz w:val="22"/>
                <w:szCs w:val="22"/>
              </w:rPr>
            </w:pPr>
            <w:r w:rsidRPr="00EB5292">
              <w:rPr>
                <w:rFonts w:ascii="Verdana" w:hAnsi="Verdana"/>
                <w:kern w:val="0"/>
                <w:sz w:val="22"/>
                <w:szCs w:val="22"/>
              </w:rPr>
              <w:t xml:space="preserve">Like with other provisions in the legislation, these provisions will subject the </w:t>
            </w:r>
            <w:r w:rsidRPr="00EB5292">
              <w:rPr>
                <w:rFonts w:ascii="Verdana" w:hAnsi="Verdana"/>
                <w:sz w:val="22"/>
                <w:szCs w:val="22"/>
              </w:rPr>
              <w:t xml:space="preserve">Supplemental Nutrition Assistance Program </w:t>
            </w:r>
            <w:r w:rsidRPr="00EB5292">
              <w:rPr>
                <w:rFonts w:ascii="Verdana" w:hAnsi="Verdana"/>
                <w:kern w:val="0"/>
                <w:sz w:val="22"/>
                <w:szCs w:val="22"/>
              </w:rPr>
              <w:t xml:space="preserve">to major ($186 billion) budget cuts with new work requirements, will increase state contributions and will limit the Thrifty Food Plan, all of which address food insecurity in this country. </w:t>
            </w:r>
          </w:p>
        </w:tc>
      </w:tr>
      <w:tr w:rsidR="00EB5292" w:rsidRPr="00EB5292" w14:paraId="3ECC251C" w14:textId="77777777" w:rsidTr="009A5679">
        <w:trPr>
          <w:jc w:val="center"/>
        </w:trPr>
        <w:tc>
          <w:tcPr>
            <w:tcW w:w="10214" w:type="dxa"/>
            <w:vAlign w:val="center"/>
          </w:tcPr>
          <w:p w14:paraId="4F9C6B45" w14:textId="77777777" w:rsidR="00EB5292" w:rsidRPr="00EB5292" w:rsidRDefault="00EB5292" w:rsidP="0095718A">
            <w:pPr>
              <w:pStyle w:val="ListParagraph"/>
              <w:numPr>
                <w:ilvl w:val="0"/>
                <w:numId w:val="17"/>
              </w:numPr>
              <w:rPr>
                <w:rFonts w:ascii="Verdana" w:hAnsi="Verdana"/>
                <w:color w:val="212121"/>
                <w:sz w:val="22"/>
                <w:szCs w:val="22"/>
              </w:rPr>
            </w:pPr>
            <w:r w:rsidRPr="00EB5292">
              <w:rPr>
                <w:rFonts w:ascii="Verdana" w:hAnsi="Verdana"/>
                <w:color w:val="212121"/>
                <w:sz w:val="22"/>
                <w:szCs w:val="22"/>
                <w:u w:color="212121"/>
              </w:rPr>
              <w:t>SNAP helps over 42 million families access groceries and meals at home. It is one of our nation’s most effective anti-poverty programs. When a senior, child or family has access to food because of SNAP, they have better health outcomes, academic performance and overall quality of life.</w:t>
            </w:r>
          </w:p>
        </w:tc>
      </w:tr>
      <w:tr w:rsidR="00EB5292" w:rsidRPr="00EB5292" w14:paraId="19BA6117" w14:textId="77777777" w:rsidTr="009A5679">
        <w:trPr>
          <w:jc w:val="center"/>
        </w:trPr>
        <w:tc>
          <w:tcPr>
            <w:tcW w:w="10214" w:type="dxa"/>
            <w:vAlign w:val="center"/>
          </w:tcPr>
          <w:p w14:paraId="38B8845B" w14:textId="77777777" w:rsidR="00EB5292" w:rsidRPr="00EB5292" w:rsidRDefault="00EB5292" w:rsidP="0095718A">
            <w:pPr>
              <w:pStyle w:val="ListParagraph"/>
              <w:numPr>
                <w:ilvl w:val="0"/>
                <w:numId w:val="17"/>
              </w:numPr>
              <w:rPr>
                <w:rFonts w:ascii="Verdana" w:hAnsi="Verdana"/>
                <w:color w:val="212121"/>
                <w:sz w:val="22"/>
                <w:szCs w:val="22"/>
              </w:rPr>
            </w:pPr>
            <w:r w:rsidRPr="00EB5292">
              <w:rPr>
                <w:rFonts w:ascii="Verdana" w:hAnsi="Verdana"/>
                <w:color w:val="212121"/>
                <w:sz w:val="22"/>
                <w:szCs w:val="22"/>
                <w:u w:color="212121"/>
              </w:rPr>
              <w:t>With high grocery prices and the Trump administration’s $1 billion in cuts to food banks and food for schools and </w:t>
            </w:r>
            <w:proofErr w:type="gramStart"/>
            <w:r w:rsidRPr="00EB5292">
              <w:rPr>
                <w:rFonts w:ascii="Verdana" w:hAnsi="Verdana"/>
                <w:color w:val="212121"/>
                <w:sz w:val="22"/>
                <w:szCs w:val="22"/>
                <w:u w:color="212121"/>
              </w:rPr>
              <w:t>child care</w:t>
            </w:r>
            <w:proofErr w:type="gramEnd"/>
            <w:r w:rsidRPr="00EB5292">
              <w:rPr>
                <w:rFonts w:ascii="Verdana" w:hAnsi="Verdana"/>
                <w:color w:val="212121"/>
                <w:sz w:val="22"/>
                <w:szCs w:val="22"/>
                <w:u w:color="212121"/>
              </w:rPr>
              <w:t> centers, the future cuts to SNAP benefits and mandating states pay for a federal benefit will cause even more children, seniors, veterans and people with disabilities in every community to go hungry. </w:t>
            </w:r>
          </w:p>
        </w:tc>
      </w:tr>
      <w:tr w:rsidR="00EB5292" w:rsidRPr="00EB5292" w14:paraId="0421B889" w14:textId="77777777" w:rsidTr="009A5679">
        <w:trPr>
          <w:jc w:val="center"/>
        </w:trPr>
        <w:tc>
          <w:tcPr>
            <w:tcW w:w="10214" w:type="dxa"/>
            <w:vAlign w:val="center"/>
          </w:tcPr>
          <w:p w14:paraId="1E2B7484" w14:textId="77777777" w:rsidR="00EB5292" w:rsidRPr="00EB5292" w:rsidRDefault="00EB5292" w:rsidP="0095718A">
            <w:pPr>
              <w:pStyle w:val="ListParagraph"/>
              <w:numPr>
                <w:ilvl w:val="0"/>
                <w:numId w:val="17"/>
              </w:numPr>
              <w:rPr>
                <w:rFonts w:ascii="Verdana" w:hAnsi="Verdana"/>
                <w:color w:val="212121"/>
                <w:sz w:val="22"/>
                <w:szCs w:val="22"/>
              </w:rPr>
            </w:pPr>
            <w:r w:rsidRPr="00EB5292">
              <w:rPr>
                <w:rFonts w:ascii="Verdana" w:hAnsi="Verdana"/>
                <w:color w:val="212121"/>
                <w:sz w:val="22"/>
                <w:szCs w:val="22"/>
                <w:u w:color="212121"/>
              </w:rPr>
              <w:t xml:space="preserve">This will have a real impact on the communities where AFT members work and live. </w:t>
            </w:r>
            <w:hyperlink r:id="rId19" w:history="1">
              <w:r w:rsidRPr="00EB5292">
                <w:rPr>
                  <w:rStyle w:val="Hyperlink3"/>
                  <w:rFonts w:ascii="Verdana" w:hAnsi="Verdana"/>
                  <w:sz w:val="22"/>
                  <w:szCs w:val="22"/>
                </w:rPr>
                <w:t>Several studies</w:t>
              </w:r>
            </w:hyperlink>
            <w:r w:rsidRPr="00EB5292">
              <w:rPr>
                <w:rFonts w:ascii="Verdana" w:hAnsi="Verdana"/>
                <w:color w:val="333333"/>
                <w:sz w:val="22"/>
                <w:szCs w:val="22"/>
                <w:u w:color="333333"/>
                <w:shd w:val="clear" w:color="auto" w:fill="FFFFFF"/>
              </w:rPr>
              <w:t> indicate that individuals who receive SNAP benefits have better health and lower rates of food insecurity than similar people who are eligible but not receiving these benefits. Food insecurity is associated with </w:t>
            </w:r>
            <w:hyperlink r:id="rId20" w:history="1">
              <w:r w:rsidRPr="00EB5292">
                <w:rPr>
                  <w:rStyle w:val="Hyperlink3"/>
                  <w:rFonts w:ascii="Verdana" w:hAnsi="Verdana"/>
                  <w:sz w:val="22"/>
                  <w:szCs w:val="22"/>
                </w:rPr>
                <w:t>multiple chronic conditions</w:t>
              </w:r>
            </w:hyperlink>
            <w:r w:rsidRPr="00EB5292">
              <w:rPr>
                <w:rFonts w:ascii="Verdana" w:hAnsi="Verdana"/>
                <w:color w:val="333333"/>
                <w:sz w:val="22"/>
                <w:szCs w:val="22"/>
                <w:u w:color="333333"/>
                <w:shd w:val="clear" w:color="auto" w:fill="FFFFFF"/>
              </w:rPr>
              <w:t>, </w:t>
            </w:r>
            <w:hyperlink r:id="rId21" w:history="1">
              <w:r w:rsidRPr="00EB5292">
                <w:rPr>
                  <w:rStyle w:val="Hyperlink3"/>
                  <w:rFonts w:ascii="Verdana" w:hAnsi="Verdana"/>
                  <w:sz w:val="22"/>
                  <w:szCs w:val="22"/>
                </w:rPr>
                <w:t>poorer self-reported health status</w:t>
              </w:r>
            </w:hyperlink>
            <w:r w:rsidRPr="00EB5292">
              <w:rPr>
                <w:rFonts w:ascii="Verdana" w:hAnsi="Verdana"/>
                <w:color w:val="333333"/>
                <w:sz w:val="22"/>
                <w:szCs w:val="22"/>
                <w:u w:color="333333"/>
                <w:shd w:val="clear" w:color="auto" w:fill="FFFFFF"/>
              </w:rPr>
              <w:t>, </w:t>
            </w:r>
            <w:hyperlink r:id="rId22" w:history="1">
              <w:r w:rsidRPr="00EB5292">
                <w:rPr>
                  <w:rStyle w:val="Hyperlink3"/>
                  <w:rFonts w:ascii="Verdana" w:hAnsi="Verdana"/>
                  <w:sz w:val="22"/>
                  <w:szCs w:val="22"/>
                </w:rPr>
                <w:t>higher healthcare utilization</w:t>
              </w:r>
            </w:hyperlink>
            <w:r w:rsidRPr="00EB5292">
              <w:rPr>
                <w:rFonts w:ascii="Verdana" w:hAnsi="Verdana"/>
                <w:color w:val="333333"/>
                <w:sz w:val="22"/>
                <w:szCs w:val="22"/>
                <w:u w:color="333333"/>
                <w:shd w:val="clear" w:color="auto" w:fill="FFFFFF"/>
              </w:rPr>
              <w:t xml:space="preserve"> and </w:t>
            </w:r>
            <w:hyperlink r:id="rId23" w:history="1">
              <w:r w:rsidRPr="00EB5292">
                <w:rPr>
                  <w:rStyle w:val="Hyperlink3"/>
                  <w:rFonts w:ascii="Verdana" w:hAnsi="Verdana"/>
                  <w:sz w:val="22"/>
                  <w:szCs w:val="22"/>
                </w:rPr>
                <w:t>lower rates of medication adherence</w:t>
              </w:r>
            </w:hyperlink>
            <w:r w:rsidRPr="00EB5292">
              <w:rPr>
                <w:rFonts w:ascii="Verdana" w:hAnsi="Verdana"/>
                <w:color w:val="333333"/>
                <w:sz w:val="22"/>
                <w:szCs w:val="22"/>
                <w:u w:color="333333"/>
                <w:shd w:val="clear" w:color="auto" w:fill="FFFFFF"/>
              </w:rPr>
              <w:t>.</w:t>
            </w:r>
          </w:p>
        </w:tc>
      </w:tr>
      <w:tr w:rsidR="00EB5292" w:rsidRPr="00EB5292" w14:paraId="4E25819D" w14:textId="77777777" w:rsidTr="009A5679">
        <w:trPr>
          <w:jc w:val="center"/>
        </w:trPr>
        <w:tc>
          <w:tcPr>
            <w:tcW w:w="10214" w:type="dxa"/>
            <w:vAlign w:val="center"/>
          </w:tcPr>
          <w:p w14:paraId="1CB10550" w14:textId="77777777" w:rsidR="00EB5292" w:rsidRPr="00EB5292" w:rsidRDefault="00EB5292" w:rsidP="0095718A">
            <w:pPr>
              <w:pStyle w:val="paragraph"/>
              <w:numPr>
                <w:ilvl w:val="0"/>
                <w:numId w:val="18"/>
              </w:numPr>
              <w:spacing w:before="0" w:after="0"/>
              <w:rPr>
                <w:rFonts w:ascii="Verdana" w:eastAsia="Segoe UI" w:hAnsi="Verdana" w:cs="Arial"/>
                <w:sz w:val="22"/>
                <w:szCs w:val="22"/>
              </w:rPr>
            </w:pPr>
            <w:r w:rsidRPr="00EB5292">
              <w:rPr>
                <w:rFonts w:ascii="Verdana" w:eastAsia="Aptos" w:hAnsi="Verdana" w:cs="Arial"/>
                <w:sz w:val="22"/>
                <w:szCs w:val="22"/>
              </w:rPr>
              <w:t xml:space="preserve">The $186 billion in food support that will be cut from as many as 22.3 million families who will lose some or </w:t>
            </w:r>
            <w:proofErr w:type="gramStart"/>
            <w:r w:rsidRPr="00EB5292">
              <w:rPr>
                <w:rFonts w:ascii="Verdana" w:eastAsia="Aptos" w:hAnsi="Verdana" w:cs="Arial"/>
                <w:sz w:val="22"/>
                <w:szCs w:val="22"/>
              </w:rPr>
              <w:t>all of</w:t>
            </w:r>
            <w:proofErr w:type="gramEnd"/>
            <w:r w:rsidRPr="00EB5292">
              <w:rPr>
                <w:rFonts w:ascii="Verdana" w:eastAsia="Aptos" w:hAnsi="Verdana" w:cs="Arial"/>
                <w:sz w:val="22"/>
                <w:szCs w:val="22"/>
              </w:rPr>
              <w:t xml:space="preserve"> their SNAP benefits will further add to food insecurity. </w:t>
            </w:r>
          </w:p>
        </w:tc>
      </w:tr>
      <w:tr w:rsidR="00EB5292" w:rsidRPr="001F0456" w14:paraId="28268E1E" w14:textId="77777777" w:rsidTr="009A5679">
        <w:trPr>
          <w:jc w:val="center"/>
        </w:trPr>
        <w:tc>
          <w:tcPr>
            <w:tcW w:w="10214" w:type="dxa"/>
            <w:vAlign w:val="center"/>
          </w:tcPr>
          <w:p w14:paraId="0FEA3CAE" w14:textId="77777777" w:rsidR="00EB5292" w:rsidRPr="001F0456" w:rsidRDefault="00EB5292" w:rsidP="0095718A">
            <w:pPr>
              <w:pStyle w:val="paragraph"/>
              <w:numPr>
                <w:ilvl w:val="0"/>
                <w:numId w:val="18"/>
              </w:numPr>
              <w:spacing w:before="0" w:after="0"/>
              <w:rPr>
                <w:rFonts w:ascii="Verdana" w:eastAsia="Segoe UI" w:hAnsi="Verdana" w:cs="Arial"/>
                <w:sz w:val="22"/>
                <w:szCs w:val="22"/>
              </w:rPr>
            </w:pPr>
            <w:r w:rsidRPr="00EB5292">
              <w:rPr>
                <w:rFonts w:ascii="Verdana" w:eastAsia="Aptos" w:hAnsi="Verdana" w:cs="Arial"/>
                <w:sz w:val="22"/>
                <w:szCs w:val="22"/>
              </w:rPr>
              <w:t>But these cuts won’t just affect meals at home; they will also affect access to meals in school. When a family is found eligible for SNAP, their child is immediately enrolled in the school meals program. Nearly 30 million children receive breakfast and lunch at school. These meals are the main source of nutrition for more than half of these children. When the number of families that are eligible for SNAP is reduced, the number of children with direct access to school meals will also be reduced. It is estimated that approximately 18 million children will lose access to school meals due to these SNAP changes</w:t>
            </w:r>
            <w:r w:rsidRPr="00EB5292">
              <w:rPr>
                <w:rFonts w:ascii="Verdana" w:eastAsia="Segoe UI" w:hAnsi="Verdana" w:cs="Arial"/>
                <w:sz w:val="22"/>
                <w:szCs w:val="22"/>
              </w:rPr>
              <w:t>.</w:t>
            </w:r>
          </w:p>
        </w:tc>
      </w:tr>
    </w:tbl>
    <w:p w14:paraId="230968FF" w14:textId="77777777" w:rsidR="00A11840" w:rsidRPr="001F0456" w:rsidRDefault="00A11840" w:rsidP="002F7B27">
      <w:pPr>
        <w:pStyle w:val="paragraph"/>
        <w:spacing w:before="0" w:after="0"/>
        <w:ind w:left="720"/>
        <w:rPr>
          <w:rFonts w:ascii="Verdana" w:eastAsia="Segoe UI" w:hAnsi="Verdana" w:cs="Arial"/>
          <w:sz w:val="22"/>
          <w:szCs w:val="22"/>
        </w:rPr>
      </w:pPr>
    </w:p>
    <w:p w14:paraId="1B340925" w14:textId="6FA39ACB" w:rsidR="00A11840" w:rsidRPr="009A5679" w:rsidRDefault="00D45D66" w:rsidP="002F7B27">
      <w:pPr>
        <w:pStyle w:val="Body"/>
        <w:shd w:val="clear" w:color="auto" w:fill="FFFFFF"/>
        <w:spacing w:after="165"/>
        <w:rPr>
          <w:rFonts w:ascii="Frutiger 45 Light" w:hAnsi="Frutiger 45 Light"/>
          <w:b/>
          <w:bCs/>
        </w:rPr>
      </w:pPr>
      <w:r w:rsidRPr="009A5679">
        <w:rPr>
          <w:rFonts w:ascii="Frutiger 45 Light" w:hAnsi="Frutiger 45 Light"/>
          <w:b/>
          <w:bCs/>
        </w:rPr>
        <w:t xml:space="preserve">Nutrition </w:t>
      </w:r>
      <w:r w:rsidR="009B5933" w:rsidRPr="009A5679">
        <w:rPr>
          <w:rFonts w:ascii="Frutiger 45 Light" w:hAnsi="Frutiger 45 Light"/>
          <w:b/>
          <w:bCs/>
        </w:rPr>
        <w:t>p</w:t>
      </w:r>
      <w:r w:rsidRPr="009A5679">
        <w:rPr>
          <w:rFonts w:ascii="Frutiger 45 Light" w:hAnsi="Frutiger 45 Light"/>
          <w:b/>
          <w:bCs/>
        </w:rPr>
        <w:t>rovisions</w:t>
      </w:r>
      <w:r w:rsidR="009B5933" w:rsidRPr="009A5679">
        <w:rPr>
          <w:rFonts w:ascii="Frutiger 45 Light" w:hAnsi="Frutiger 45 Light"/>
          <w:b/>
          <w:bCs/>
        </w:rPr>
        <w:t>:</w:t>
      </w:r>
    </w:p>
    <w:p w14:paraId="364F8C3C" w14:textId="1E2BFBDA" w:rsidR="00A11840" w:rsidRPr="001F0456" w:rsidRDefault="00491199">
      <w:pPr>
        <w:pStyle w:val="ListParagraph"/>
        <w:numPr>
          <w:ilvl w:val="0"/>
          <w:numId w:val="21"/>
        </w:numPr>
        <w:rPr>
          <w:rFonts w:ascii="Verdana" w:hAnsi="Verdana"/>
          <w:sz w:val="22"/>
          <w:szCs w:val="22"/>
        </w:rPr>
      </w:pPr>
      <w:r w:rsidRPr="001F0456">
        <w:rPr>
          <w:rFonts w:ascii="Verdana" w:hAnsi="Verdana"/>
          <w:sz w:val="22"/>
          <w:szCs w:val="22"/>
        </w:rPr>
        <w:t>R</w:t>
      </w:r>
      <w:r w:rsidR="00D45D66" w:rsidRPr="001F0456">
        <w:rPr>
          <w:rFonts w:ascii="Verdana" w:hAnsi="Verdana"/>
          <w:sz w:val="22"/>
          <w:szCs w:val="22"/>
        </w:rPr>
        <w:t>epresents</w:t>
      </w:r>
      <w:r w:rsidRPr="001F0456">
        <w:rPr>
          <w:rFonts w:ascii="Verdana" w:hAnsi="Verdana"/>
          <w:sz w:val="22"/>
          <w:szCs w:val="22"/>
        </w:rPr>
        <w:t xml:space="preserve"> the largest cut, about 20 percent, in</w:t>
      </w:r>
      <w:r w:rsidR="00D45D66" w:rsidRPr="001F0456">
        <w:rPr>
          <w:rFonts w:ascii="Verdana" w:hAnsi="Verdana"/>
          <w:sz w:val="22"/>
          <w:szCs w:val="22"/>
        </w:rPr>
        <w:t xml:space="preserve"> SNAP</w:t>
      </w:r>
      <w:r w:rsidRPr="001F0456">
        <w:rPr>
          <w:rFonts w:ascii="Verdana" w:hAnsi="Verdana"/>
          <w:sz w:val="22"/>
          <w:szCs w:val="22"/>
        </w:rPr>
        <w:t>’s history.</w:t>
      </w:r>
    </w:p>
    <w:p w14:paraId="02848941" w14:textId="3E447B04" w:rsidR="00A11840" w:rsidRPr="001F0456" w:rsidRDefault="00273E80" w:rsidP="00C44E18">
      <w:pPr>
        <w:pStyle w:val="ListParagraph"/>
        <w:numPr>
          <w:ilvl w:val="0"/>
          <w:numId w:val="21"/>
        </w:numPr>
        <w:rPr>
          <w:rFonts w:ascii="Verdana" w:eastAsia="Arial" w:hAnsi="Verdana" w:cs="Arial"/>
          <w:sz w:val="22"/>
          <w:szCs w:val="22"/>
        </w:rPr>
      </w:pPr>
      <w:r w:rsidRPr="001F0456">
        <w:rPr>
          <w:rFonts w:ascii="Verdana" w:hAnsi="Verdana"/>
          <w:sz w:val="22"/>
          <w:szCs w:val="22"/>
        </w:rPr>
        <w:t>Requires states to pay for up to 15</w:t>
      </w:r>
      <w:r w:rsidR="00491199" w:rsidRPr="001F0456">
        <w:rPr>
          <w:rFonts w:ascii="Verdana" w:hAnsi="Verdana"/>
          <w:sz w:val="22"/>
          <w:szCs w:val="22"/>
        </w:rPr>
        <w:t xml:space="preserve"> percent</w:t>
      </w:r>
      <w:r w:rsidRPr="001F0456">
        <w:rPr>
          <w:rFonts w:ascii="Verdana" w:hAnsi="Verdana"/>
          <w:sz w:val="22"/>
          <w:szCs w:val="22"/>
        </w:rPr>
        <w:t xml:space="preserve"> of SNAP benefits if their payment error</w:t>
      </w:r>
      <w:r w:rsidR="00491199" w:rsidRPr="001F0456">
        <w:rPr>
          <w:rFonts w:ascii="Verdana" w:hAnsi="Verdana"/>
          <w:sz w:val="22"/>
          <w:szCs w:val="22"/>
        </w:rPr>
        <w:t xml:space="preserve"> </w:t>
      </w:r>
      <w:r w:rsidRPr="001F0456">
        <w:rPr>
          <w:rFonts w:ascii="Verdana" w:hAnsi="Verdana"/>
          <w:sz w:val="22"/>
          <w:szCs w:val="22"/>
        </w:rPr>
        <w:t>rate is 10</w:t>
      </w:r>
      <w:r w:rsidR="00491199" w:rsidRPr="001F0456">
        <w:rPr>
          <w:rFonts w:ascii="Verdana" w:hAnsi="Verdana"/>
          <w:sz w:val="22"/>
          <w:szCs w:val="22"/>
        </w:rPr>
        <w:t xml:space="preserve"> percent</w:t>
      </w:r>
      <w:r w:rsidRPr="001F0456">
        <w:rPr>
          <w:rFonts w:ascii="Verdana" w:hAnsi="Verdana"/>
          <w:sz w:val="22"/>
          <w:szCs w:val="22"/>
        </w:rPr>
        <w:t xml:space="preserve"> or more. If a state can’t pay for the SNAP benefits that the federal funding will no longer cover, it is likely </w:t>
      </w:r>
      <w:r w:rsidR="00491199" w:rsidRPr="001F0456">
        <w:rPr>
          <w:rFonts w:ascii="Verdana" w:hAnsi="Verdana"/>
          <w:sz w:val="22"/>
          <w:szCs w:val="22"/>
        </w:rPr>
        <w:t xml:space="preserve">to </w:t>
      </w:r>
      <w:r w:rsidRPr="001F0456">
        <w:rPr>
          <w:rFonts w:ascii="Verdana" w:hAnsi="Verdana"/>
          <w:sz w:val="22"/>
          <w:szCs w:val="22"/>
        </w:rPr>
        <w:t xml:space="preserve">need to increase state taxes or cut state spending in other programs. </w:t>
      </w:r>
    </w:p>
    <w:p w14:paraId="4FEFF083" w14:textId="32E6D72C" w:rsidR="00A11840" w:rsidRPr="001F0456" w:rsidRDefault="00273E80">
      <w:pPr>
        <w:pStyle w:val="ListParagraph"/>
        <w:rPr>
          <w:rFonts w:ascii="Verdana" w:eastAsia="Arial" w:hAnsi="Verdana" w:cs="Arial"/>
          <w:sz w:val="22"/>
          <w:szCs w:val="22"/>
        </w:rPr>
      </w:pPr>
      <w:r w:rsidRPr="001F0456">
        <w:rPr>
          <w:rFonts w:ascii="Verdana" w:hAnsi="Verdana"/>
          <w:sz w:val="22"/>
          <w:szCs w:val="22"/>
        </w:rPr>
        <w:t>The law carves out exemptions for the states with the highest error rates, giving them more time to comply with the new rules. States that exceeded that threshold in </w:t>
      </w:r>
      <w:hyperlink r:id="rId24" w:history="1">
        <w:r w:rsidR="00A11840" w:rsidRPr="001F0456">
          <w:rPr>
            <w:rStyle w:val="Hyperlink0"/>
            <w:rFonts w:ascii="Verdana" w:hAnsi="Verdana"/>
            <w:sz w:val="22"/>
            <w:szCs w:val="22"/>
          </w:rPr>
          <w:t>2024 data</w:t>
        </w:r>
      </w:hyperlink>
      <w:r w:rsidRPr="001F0456">
        <w:rPr>
          <w:rFonts w:ascii="Verdana" w:hAnsi="Verdana"/>
          <w:sz w:val="22"/>
          <w:szCs w:val="22"/>
        </w:rPr>
        <w:t xml:space="preserve"> included Alaska, Florida, Georgia, </w:t>
      </w:r>
      <w:r w:rsidR="00491199" w:rsidRPr="001F0456">
        <w:rPr>
          <w:rFonts w:ascii="Verdana" w:hAnsi="Verdana"/>
          <w:sz w:val="22"/>
          <w:szCs w:val="22"/>
        </w:rPr>
        <w:t xml:space="preserve">Hawaii, </w:t>
      </w:r>
      <w:r w:rsidRPr="001F0456">
        <w:rPr>
          <w:rFonts w:ascii="Verdana" w:hAnsi="Verdana"/>
          <w:sz w:val="22"/>
          <w:szCs w:val="22"/>
        </w:rPr>
        <w:t>Maryland, Massachusetts, New Jersey, New Mexico, New York, Oregon and the District of Columbia.</w:t>
      </w:r>
      <w:r w:rsidR="00491199" w:rsidRPr="001F0456">
        <w:rPr>
          <w:rFonts w:ascii="Verdana" w:hAnsi="Verdana"/>
          <w:sz w:val="22"/>
          <w:szCs w:val="22"/>
        </w:rPr>
        <w:t xml:space="preserve"> The law d</w:t>
      </w:r>
      <w:r w:rsidRPr="001F0456">
        <w:rPr>
          <w:rFonts w:ascii="Verdana" w:hAnsi="Verdana"/>
          <w:sz w:val="22"/>
          <w:szCs w:val="22"/>
        </w:rPr>
        <w:t xml:space="preserve">elays </w:t>
      </w:r>
      <w:r w:rsidR="00491199" w:rsidRPr="001F0456">
        <w:rPr>
          <w:rFonts w:ascii="Verdana" w:hAnsi="Verdana"/>
          <w:sz w:val="22"/>
          <w:szCs w:val="22"/>
        </w:rPr>
        <w:t xml:space="preserve">the </w:t>
      </w:r>
      <w:r w:rsidRPr="001F0456">
        <w:rPr>
          <w:rFonts w:ascii="Verdana" w:hAnsi="Verdana"/>
          <w:sz w:val="22"/>
          <w:szCs w:val="22"/>
        </w:rPr>
        <w:t xml:space="preserve">requirement until fiscal 2029 or 2030 if the error rate meets </w:t>
      </w:r>
      <w:r w:rsidR="00491199" w:rsidRPr="001F0456">
        <w:rPr>
          <w:rFonts w:ascii="Verdana" w:hAnsi="Verdana"/>
          <w:sz w:val="22"/>
          <w:szCs w:val="22"/>
        </w:rPr>
        <w:t xml:space="preserve">a </w:t>
      </w:r>
      <w:r w:rsidRPr="001F0456">
        <w:rPr>
          <w:rFonts w:ascii="Verdana" w:hAnsi="Verdana"/>
          <w:sz w:val="22"/>
          <w:szCs w:val="22"/>
        </w:rPr>
        <w:t>specified threshold</w:t>
      </w:r>
      <w:r w:rsidR="008B3F65" w:rsidRPr="001F0456">
        <w:rPr>
          <w:rFonts w:ascii="Verdana" w:hAnsi="Verdana"/>
          <w:sz w:val="22"/>
          <w:szCs w:val="22"/>
        </w:rPr>
        <w:t>.</w:t>
      </w:r>
    </w:p>
    <w:p w14:paraId="434EA3A3" w14:textId="026F3373" w:rsidR="00A11840" w:rsidRPr="001F0456" w:rsidRDefault="00273E80" w:rsidP="00C44E18">
      <w:pPr>
        <w:pStyle w:val="ListParagraph"/>
        <w:numPr>
          <w:ilvl w:val="0"/>
          <w:numId w:val="21"/>
        </w:numPr>
        <w:rPr>
          <w:rFonts w:ascii="Verdana" w:eastAsia="Arial" w:hAnsi="Verdana" w:cs="Arial"/>
          <w:sz w:val="22"/>
          <w:szCs w:val="22"/>
        </w:rPr>
      </w:pPr>
      <w:r w:rsidRPr="001F0456">
        <w:rPr>
          <w:rFonts w:ascii="Verdana" w:hAnsi="Verdana"/>
          <w:sz w:val="22"/>
          <w:szCs w:val="22"/>
        </w:rPr>
        <w:t xml:space="preserve">Lowers </w:t>
      </w:r>
      <w:r w:rsidR="00491199" w:rsidRPr="001F0456">
        <w:rPr>
          <w:rFonts w:ascii="Verdana" w:hAnsi="Verdana"/>
          <w:sz w:val="22"/>
          <w:szCs w:val="22"/>
        </w:rPr>
        <w:t xml:space="preserve">the </w:t>
      </w:r>
      <w:r w:rsidRPr="001F0456">
        <w:rPr>
          <w:rFonts w:ascii="Verdana" w:hAnsi="Verdana"/>
          <w:sz w:val="22"/>
          <w:szCs w:val="22"/>
        </w:rPr>
        <w:t>federal share of SNAP administrative costs to 25</w:t>
      </w:r>
      <w:r w:rsidR="00491199" w:rsidRPr="001F0456">
        <w:rPr>
          <w:rFonts w:ascii="Verdana" w:hAnsi="Verdana"/>
          <w:sz w:val="22"/>
          <w:szCs w:val="22"/>
        </w:rPr>
        <w:t xml:space="preserve"> percent</w:t>
      </w:r>
      <w:r w:rsidRPr="001F0456">
        <w:rPr>
          <w:rFonts w:ascii="Verdana" w:hAnsi="Verdana"/>
          <w:sz w:val="22"/>
          <w:szCs w:val="22"/>
        </w:rPr>
        <w:t xml:space="preserve"> starting in fiscal</w:t>
      </w:r>
      <w:r w:rsidR="00491199" w:rsidRPr="001F0456">
        <w:rPr>
          <w:rFonts w:ascii="Verdana" w:hAnsi="Verdana"/>
          <w:sz w:val="22"/>
          <w:szCs w:val="22"/>
        </w:rPr>
        <w:t xml:space="preserve"> </w:t>
      </w:r>
      <w:r w:rsidRPr="001F0456">
        <w:rPr>
          <w:rFonts w:ascii="Verdana" w:hAnsi="Verdana"/>
          <w:sz w:val="22"/>
          <w:szCs w:val="22"/>
        </w:rPr>
        <w:t>2027, down from 50</w:t>
      </w:r>
      <w:r w:rsidR="00491199" w:rsidRPr="001F0456">
        <w:rPr>
          <w:rFonts w:ascii="Verdana" w:hAnsi="Verdana"/>
          <w:sz w:val="22"/>
          <w:szCs w:val="22"/>
        </w:rPr>
        <w:t xml:space="preserve"> percent</w:t>
      </w:r>
      <w:r w:rsidR="008B3F65" w:rsidRPr="001F0456">
        <w:rPr>
          <w:rFonts w:ascii="Verdana" w:hAnsi="Verdana"/>
          <w:sz w:val="22"/>
          <w:szCs w:val="22"/>
        </w:rPr>
        <w:t>.</w:t>
      </w:r>
    </w:p>
    <w:p w14:paraId="03D9D508" w14:textId="26F99125" w:rsidR="00A11840" w:rsidRPr="001F0456" w:rsidRDefault="00273E80" w:rsidP="00C44E18">
      <w:pPr>
        <w:pStyle w:val="ListParagraph"/>
        <w:numPr>
          <w:ilvl w:val="0"/>
          <w:numId w:val="21"/>
        </w:numPr>
        <w:rPr>
          <w:rFonts w:ascii="Verdana" w:eastAsia="Arial" w:hAnsi="Verdana" w:cs="Arial"/>
          <w:sz w:val="22"/>
          <w:szCs w:val="22"/>
        </w:rPr>
      </w:pPr>
      <w:r w:rsidRPr="001F0456">
        <w:rPr>
          <w:rFonts w:ascii="Verdana" w:hAnsi="Verdana"/>
          <w:sz w:val="22"/>
          <w:szCs w:val="22"/>
        </w:rPr>
        <w:lastRenderedPageBreak/>
        <w:t>Prevent</w:t>
      </w:r>
      <w:r w:rsidR="00491199" w:rsidRPr="001F0456">
        <w:rPr>
          <w:rFonts w:ascii="Verdana" w:hAnsi="Verdana"/>
          <w:sz w:val="22"/>
          <w:szCs w:val="22"/>
        </w:rPr>
        <w:t>s</w:t>
      </w:r>
      <w:r w:rsidRPr="001F0456">
        <w:rPr>
          <w:rFonts w:ascii="Verdana" w:hAnsi="Verdana"/>
          <w:sz w:val="22"/>
          <w:szCs w:val="22"/>
        </w:rPr>
        <w:t xml:space="preserve"> changes to the Thrifty Food Plan, which forms the basis of SNAP</w:t>
      </w:r>
      <w:r w:rsidR="00491199" w:rsidRPr="001F0456">
        <w:rPr>
          <w:rFonts w:ascii="Verdana" w:hAnsi="Verdana"/>
          <w:sz w:val="22"/>
          <w:szCs w:val="22"/>
        </w:rPr>
        <w:t xml:space="preserve"> </w:t>
      </w:r>
      <w:r w:rsidRPr="001F0456">
        <w:rPr>
          <w:rFonts w:ascii="Verdana" w:hAnsi="Verdana"/>
          <w:sz w:val="22"/>
          <w:szCs w:val="22"/>
        </w:rPr>
        <w:t>benefits calculations, except for cost-of-living adjustments</w:t>
      </w:r>
      <w:r w:rsidR="008B3F65" w:rsidRPr="001F0456">
        <w:rPr>
          <w:rFonts w:ascii="Verdana" w:hAnsi="Verdana"/>
          <w:sz w:val="22"/>
          <w:szCs w:val="22"/>
        </w:rPr>
        <w:t>.</w:t>
      </w:r>
    </w:p>
    <w:p w14:paraId="56CE3579" w14:textId="73FB2F3E" w:rsidR="00A11840" w:rsidRPr="001F0456" w:rsidRDefault="00273E80">
      <w:pPr>
        <w:pStyle w:val="ListParagraph"/>
        <w:numPr>
          <w:ilvl w:val="0"/>
          <w:numId w:val="21"/>
        </w:numPr>
        <w:rPr>
          <w:rFonts w:ascii="Verdana" w:hAnsi="Verdana"/>
          <w:sz w:val="22"/>
          <w:szCs w:val="22"/>
        </w:rPr>
      </w:pPr>
      <w:r w:rsidRPr="001F0456">
        <w:rPr>
          <w:rFonts w:ascii="Verdana" w:hAnsi="Verdana"/>
          <w:sz w:val="22"/>
          <w:szCs w:val="22"/>
        </w:rPr>
        <w:t xml:space="preserve">Raises to 65, from 55, the age at which </w:t>
      </w:r>
      <w:r w:rsidR="00491199" w:rsidRPr="001F0456">
        <w:rPr>
          <w:rFonts w:ascii="Verdana" w:hAnsi="Verdana"/>
          <w:sz w:val="22"/>
          <w:szCs w:val="22"/>
        </w:rPr>
        <w:t>“</w:t>
      </w:r>
      <w:r w:rsidRPr="001F0456">
        <w:rPr>
          <w:rFonts w:ascii="Verdana" w:hAnsi="Verdana"/>
          <w:sz w:val="22"/>
          <w:szCs w:val="22"/>
        </w:rPr>
        <w:t>able-bodied adults without dependents</w:t>
      </w:r>
      <w:r w:rsidR="00491199" w:rsidRPr="001F0456">
        <w:rPr>
          <w:rFonts w:ascii="Verdana" w:hAnsi="Verdana"/>
          <w:sz w:val="22"/>
          <w:szCs w:val="22"/>
        </w:rPr>
        <w:t>”</w:t>
      </w:r>
      <w:r w:rsidRPr="001F0456">
        <w:rPr>
          <w:rFonts w:ascii="Verdana" w:hAnsi="Verdana"/>
          <w:sz w:val="22"/>
          <w:szCs w:val="22"/>
        </w:rPr>
        <w:t xml:space="preserve"> (ABAWD) would be exempt from stricter work requirements. The stricter work requirements also apply to parents whose youngest child is at least 14 years old. This will put more than 5 million people at risk of losing their food assistance, including about a million parents. That</w:t>
      </w:r>
      <w:r w:rsidR="00491199" w:rsidRPr="001F0456">
        <w:rPr>
          <w:rFonts w:ascii="Verdana" w:hAnsi="Verdana"/>
          <w:sz w:val="22"/>
          <w:szCs w:val="22"/>
        </w:rPr>
        <w:t>’</w:t>
      </w:r>
      <w:r w:rsidRPr="001F0456">
        <w:rPr>
          <w:rFonts w:ascii="Verdana" w:hAnsi="Verdana"/>
          <w:sz w:val="22"/>
          <w:szCs w:val="22"/>
        </w:rPr>
        <w:t>s about 1 in 8 SNAP participants and approximately 800,000 children aged 14 to 17 years old receiving less access to nutrition and meals.</w:t>
      </w:r>
    </w:p>
    <w:p w14:paraId="3FE64B2F" w14:textId="065041C8" w:rsidR="00A11840" w:rsidRPr="001F0456" w:rsidRDefault="00273E80">
      <w:pPr>
        <w:pStyle w:val="ListParagraph"/>
        <w:numPr>
          <w:ilvl w:val="0"/>
          <w:numId w:val="21"/>
        </w:numPr>
        <w:rPr>
          <w:rFonts w:ascii="Verdana" w:hAnsi="Verdana"/>
          <w:sz w:val="22"/>
          <w:szCs w:val="22"/>
        </w:rPr>
      </w:pPr>
      <w:r w:rsidRPr="001F0456">
        <w:rPr>
          <w:rFonts w:ascii="Verdana" w:hAnsi="Verdana"/>
          <w:sz w:val="22"/>
          <w:szCs w:val="22"/>
        </w:rPr>
        <w:t>Limits states</w:t>
      </w:r>
      <w:r w:rsidR="00491199" w:rsidRPr="001F0456">
        <w:rPr>
          <w:rFonts w:ascii="Verdana" w:hAnsi="Verdana"/>
          <w:sz w:val="22"/>
          <w:szCs w:val="22"/>
        </w:rPr>
        <w:t>’</w:t>
      </w:r>
      <w:r w:rsidRPr="001F0456">
        <w:rPr>
          <w:rFonts w:ascii="Verdana" w:hAnsi="Verdana"/>
          <w:sz w:val="22"/>
          <w:szCs w:val="22"/>
        </w:rPr>
        <w:t xml:space="preserve"> ability to issue waivers for ABAWD work requirements in the 48 contiguous states</w:t>
      </w:r>
      <w:r w:rsidR="00491199" w:rsidRPr="001F0456">
        <w:rPr>
          <w:rFonts w:ascii="Verdana" w:hAnsi="Verdana"/>
          <w:sz w:val="22"/>
          <w:szCs w:val="22"/>
        </w:rPr>
        <w:t>.</w:t>
      </w:r>
    </w:p>
    <w:p w14:paraId="00DF16F4" w14:textId="4FF84A7B" w:rsidR="00A11840" w:rsidRPr="001F0456" w:rsidRDefault="00273E80">
      <w:pPr>
        <w:pStyle w:val="ListParagraph"/>
        <w:numPr>
          <w:ilvl w:val="0"/>
          <w:numId w:val="21"/>
        </w:numPr>
        <w:rPr>
          <w:rFonts w:ascii="Verdana" w:hAnsi="Verdana"/>
          <w:sz w:val="22"/>
          <w:szCs w:val="22"/>
        </w:rPr>
      </w:pPr>
      <w:r w:rsidRPr="001F0456">
        <w:rPr>
          <w:rFonts w:ascii="Verdana" w:hAnsi="Verdana"/>
          <w:sz w:val="22"/>
          <w:szCs w:val="22"/>
        </w:rPr>
        <w:t>Limits categories of eligibility for immigrants living lawfully in the country</w:t>
      </w:r>
      <w:r w:rsidR="00491199" w:rsidRPr="001F0456">
        <w:rPr>
          <w:rFonts w:ascii="Verdana" w:hAnsi="Verdana"/>
          <w:sz w:val="22"/>
          <w:szCs w:val="22"/>
        </w:rPr>
        <w:t>.</w:t>
      </w:r>
    </w:p>
    <w:p w14:paraId="1721F588" w14:textId="60D9E147" w:rsidR="005C788C" w:rsidRPr="009A5679" w:rsidRDefault="006C06DB" w:rsidP="009A5679">
      <w:pPr>
        <w:pStyle w:val="ListParagraph"/>
        <w:numPr>
          <w:ilvl w:val="0"/>
          <w:numId w:val="21"/>
        </w:numPr>
        <w:rPr>
          <w:rFonts w:ascii="Verdana" w:hAnsi="Verdana"/>
          <w:sz w:val="22"/>
          <w:szCs w:val="22"/>
        </w:rPr>
      </w:pPr>
      <w:r w:rsidRPr="001F0456">
        <w:rPr>
          <w:rFonts w:ascii="Verdana" w:hAnsi="Verdana"/>
          <w:sz w:val="22"/>
          <w:szCs w:val="22"/>
        </w:rPr>
        <w:t>Reduces or terminates food assistance for an expected 1 million children.</w:t>
      </w:r>
    </w:p>
    <w:sectPr w:rsidR="005C788C" w:rsidRPr="009A5679" w:rsidSect="002B5F64">
      <w:headerReference w:type="default" r:id="rId25"/>
      <w:footerReference w:type="default" r:id="rId26"/>
      <w:pgSz w:w="12240" w:h="15840"/>
      <w:pgMar w:top="1008"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334E" w14:textId="77777777" w:rsidR="00CD62F0" w:rsidRDefault="00CD62F0">
      <w:r>
        <w:separator/>
      </w:r>
    </w:p>
  </w:endnote>
  <w:endnote w:type="continuationSeparator" w:id="0">
    <w:p w14:paraId="67C2C896" w14:textId="77777777" w:rsidR="00CD62F0" w:rsidRDefault="00CD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urce Sans Pro">
    <w:panose1 w:val="020B07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2855" w14:textId="77777777" w:rsidR="00A11840" w:rsidRDefault="00A118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936C" w14:textId="77777777" w:rsidR="00CD62F0" w:rsidRDefault="00CD62F0">
      <w:r>
        <w:separator/>
      </w:r>
    </w:p>
  </w:footnote>
  <w:footnote w:type="continuationSeparator" w:id="0">
    <w:p w14:paraId="275F1219" w14:textId="77777777" w:rsidR="00CD62F0" w:rsidRDefault="00CD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A308" w14:textId="77777777" w:rsidR="00A11840" w:rsidRDefault="00A118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E2473"/>
    <w:multiLevelType w:val="hybridMultilevel"/>
    <w:tmpl w:val="36142086"/>
    <w:numStyleLink w:val="ImportedStyle7"/>
  </w:abstractNum>
  <w:abstractNum w:abstractNumId="1" w15:restartNumberingAfterBreak="0">
    <w:nsid w:val="17CE6525"/>
    <w:multiLevelType w:val="hybridMultilevel"/>
    <w:tmpl w:val="2C4A7ECC"/>
    <w:styleLink w:val="ImportedStyle6"/>
    <w:lvl w:ilvl="0" w:tplc="F10CDA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B2EF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66ED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643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90D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F86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C643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6B8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20CF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A6557"/>
    <w:multiLevelType w:val="hybridMultilevel"/>
    <w:tmpl w:val="A9A49FC6"/>
    <w:numStyleLink w:val="ImportedStyle2"/>
  </w:abstractNum>
  <w:abstractNum w:abstractNumId="3" w15:restartNumberingAfterBreak="0">
    <w:nsid w:val="19103673"/>
    <w:multiLevelType w:val="hybridMultilevel"/>
    <w:tmpl w:val="4C9686DA"/>
    <w:styleLink w:val="ImportedStyle5"/>
    <w:lvl w:ilvl="0" w:tplc="CAA471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9409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0286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EAB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7EF9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164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3EA5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CD5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A0BE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C36187"/>
    <w:multiLevelType w:val="hybridMultilevel"/>
    <w:tmpl w:val="6CC68712"/>
    <w:numStyleLink w:val="ImportedStyle11"/>
  </w:abstractNum>
  <w:abstractNum w:abstractNumId="5" w15:restartNumberingAfterBreak="0">
    <w:nsid w:val="1AC642D9"/>
    <w:multiLevelType w:val="hybridMultilevel"/>
    <w:tmpl w:val="89365A02"/>
    <w:numStyleLink w:val="ImportedStyle10"/>
  </w:abstractNum>
  <w:abstractNum w:abstractNumId="6" w15:restartNumberingAfterBreak="0">
    <w:nsid w:val="1FB93921"/>
    <w:multiLevelType w:val="hybridMultilevel"/>
    <w:tmpl w:val="EE6C29B4"/>
    <w:styleLink w:val="ImportedStyle9"/>
    <w:lvl w:ilvl="0" w:tplc="25E2AC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E54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2ACC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B685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6F5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98B7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2CB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329A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2857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832D78"/>
    <w:multiLevelType w:val="hybridMultilevel"/>
    <w:tmpl w:val="8E74867C"/>
    <w:numStyleLink w:val="ImportedStyle4"/>
  </w:abstractNum>
  <w:abstractNum w:abstractNumId="8" w15:restartNumberingAfterBreak="0">
    <w:nsid w:val="2B7F5180"/>
    <w:multiLevelType w:val="hybridMultilevel"/>
    <w:tmpl w:val="A9A49FC6"/>
    <w:styleLink w:val="ImportedStyle2"/>
    <w:lvl w:ilvl="0" w:tplc="1E5279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2E2F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624F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4BE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BAB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3614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42C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6B0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7AD7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A328CF"/>
    <w:multiLevelType w:val="hybridMultilevel"/>
    <w:tmpl w:val="8E74867C"/>
    <w:styleLink w:val="ImportedStyle4"/>
    <w:lvl w:ilvl="0" w:tplc="EB0E25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2C2F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0CC9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C8EA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0296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087B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525E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F42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4F8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117AC3"/>
    <w:multiLevelType w:val="hybridMultilevel"/>
    <w:tmpl w:val="D1D0C804"/>
    <w:styleLink w:val="ImportedStyle8"/>
    <w:lvl w:ilvl="0" w:tplc="CA942E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949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325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2ED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DC76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3EF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6E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542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4C90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867D3E"/>
    <w:multiLevelType w:val="hybridMultilevel"/>
    <w:tmpl w:val="4C9686DA"/>
    <w:numStyleLink w:val="ImportedStyle5"/>
  </w:abstractNum>
  <w:abstractNum w:abstractNumId="12" w15:restartNumberingAfterBreak="0">
    <w:nsid w:val="37E5199F"/>
    <w:multiLevelType w:val="hybridMultilevel"/>
    <w:tmpl w:val="D1D0C804"/>
    <w:numStyleLink w:val="ImportedStyle8"/>
  </w:abstractNum>
  <w:abstractNum w:abstractNumId="13" w15:restartNumberingAfterBreak="0">
    <w:nsid w:val="3BDF1D83"/>
    <w:multiLevelType w:val="hybridMultilevel"/>
    <w:tmpl w:val="A7444BAC"/>
    <w:numStyleLink w:val="ImportedStyle1"/>
  </w:abstractNum>
  <w:abstractNum w:abstractNumId="14" w15:restartNumberingAfterBreak="0">
    <w:nsid w:val="3D064B34"/>
    <w:multiLevelType w:val="hybridMultilevel"/>
    <w:tmpl w:val="9100271C"/>
    <w:styleLink w:val="ImportedStyle3"/>
    <w:lvl w:ilvl="0" w:tplc="DDE2A1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96EB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30A5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6E93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B2D1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27F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D4D8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589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DC0A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5758F1"/>
    <w:multiLevelType w:val="hybridMultilevel"/>
    <w:tmpl w:val="2C4A7ECC"/>
    <w:numStyleLink w:val="ImportedStyle6"/>
  </w:abstractNum>
  <w:abstractNum w:abstractNumId="16" w15:restartNumberingAfterBreak="0">
    <w:nsid w:val="47E733F4"/>
    <w:multiLevelType w:val="hybridMultilevel"/>
    <w:tmpl w:val="A7444BAC"/>
    <w:styleLink w:val="ImportedStyle1"/>
    <w:lvl w:ilvl="0" w:tplc="57C818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346C5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1F2D4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9D85A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FB0E2D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6BCFB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0E908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84CCE4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09AE8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CF21950"/>
    <w:multiLevelType w:val="hybridMultilevel"/>
    <w:tmpl w:val="9100271C"/>
    <w:numStyleLink w:val="ImportedStyle3"/>
  </w:abstractNum>
  <w:abstractNum w:abstractNumId="18" w15:restartNumberingAfterBreak="0">
    <w:nsid w:val="567D4BEB"/>
    <w:multiLevelType w:val="hybridMultilevel"/>
    <w:tmpl w:val="6CC68712"/>
    <w:styleLink w:val="ImportedStyle11"/>
    <w:lvl w:ilvl="0" w:tplc="25FC98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941D4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06EC9A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48E034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748C0A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F4A1D4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64E4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9ECED1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032D40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5C03286B"/>
    <w:multiLevelType w:val="hybridMultilevel"/>
    <w:tmpl w:val="866C48EC"/>
    <w:styleLink w:val="ImportedStyle12"/>
    <w:lvl w:ilvl="0" w:tplc="ED906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B856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C9B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6C7E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927F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3A7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2803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EE8B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F28C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E91F38"/>
    <w:multiLevelType w:val="hybridMultilevel"/>
    <w:tmpl w:val="EE6C29B4"/>
    <w:numStyleLink w:val="ImportedStyle9"/>
  </w:abstractNum>
  <w:abstractNum w:abstractNumId="21" w15:restartNumberingAfterBreak="0">
    <w:nsid w:val="69FF2870"/>
    <w:multiLevelType w:val="hybridMultilevel"/>
    <w:tmpl w:val="866C48EC"/>
    <w:numStyleLink w:val="ImportedStyle12"/>
  </w:abstractNum>
  <w:abstractNum w:abstractNumId="22" w15:restartNumberingAfterBreak="0">
    <w:nsid w:val="6D2F6630"/>
    <w:multiLevelType w:val="hybridMultilevel"/>
    <w:tmpl w:val="36142086"/>
    <w:styleLink w:val="ImportedStyle7"/>
    <w:lvl w:ilvl="0" w:tplc="155475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22E1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5400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666D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26F5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6A0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689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EE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F08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7E538A"/>
    <w:multiLevelType w:val="hybridMultilevel"/>
    <w:tmpl w:val="39E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182E"/>
    <w:multiLevelType w:val="hybridMultilevel"/>
    <w:tmpl w:val="89365A02"/>
    <w:styleLink w:val="ImportedStyle10"/>
    <w:lvl w:ilvl="0" w:tplc="697E90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0AA0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A64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EDD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A017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B6CF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68FB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681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C2AB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08585711">
    <w:abstractNumId w:val="16"/>
  </w:num>
  <w:num w:numId="2" w16cid:durableId="1802726102">
    <w:abstractNumId w:val="13"/>
  </w:num>
  <w:num w:numId="3" w16cid:durableId="2104646872">
    <w:abstractNumId w:val="8"/>
  </w:num>
  <w:num w:numId="4" w16cid:durableId="1397242804">
    <w:abstractNumId w:val="2"/>
  </w:num>
  <w:num w:numId="5" w16cid:durableId="1875536449">
    <w:abstractNumId w:val="14"/>
  </w:num>
  <w:num w:numId="6" w16cid:durableId="158235678">
    <w:abstractNumId w:val="17"/>
  </w:num>
  <w:num w:numId="7" w16cid:durableId="623461163">
    <w:abstractNumId w:val="9"/>
  </w:num>
  <w:num w:numId="8" w16cid:durableId="228658061">
    <w:abstractNumId w:val="7"/>
  </w:num>
  <w:num w:numId="9" w16cid:durableId="1908763811">
    <w:abstractNumId w:val="3"/>
  </w:num>
  <w:num w:numId="10" w16cid:durableId="1075668393">
    <w:abstractNumId w:val="11"/>
  </w:num>
  <w:num w:numId="11" w16cid:durableId="1574852953">
    <w:abstractNumId w:val="11"/>
    <w:lvlOverride w:ilvl="0">
      <w:lvl w:ilvl="0" w:tplc="4CB649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82FF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68C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7A8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66C6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469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82D2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929B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56A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690841736">
    <w:abstractNumId w:val="1"/>
  </w:num>
  <w:num w:numId="13" w16cid:durableId="1455127096">
    <w:abstractNumId w:val="15"/>
  </w:num>
  <w:num w:numId="14" w16cid:durableId="970864339">
    <w:abstractNumId w:val="22"/>
  </w:num>
  <w:num w:numId="15" w16cid:durableId="2137945510">
    <w:abstractNumId w:val="0"/>
  </w:num>
  <w:num w:numId="16" w16cid:durableId="753823296">
    <w:abstractNumId w:val="10"/>
  </w:num>
  <w:num w:numId="17" w16cid:durableId="753746774">
    <w:abstractNumId w:val="12"/>
  </w:num>
  <w:num w:numId="18" w16cid:durableId="555750154">
    <w:abstractNumId w:val="12"/>
    <w:lvlOverride w:ilvl="0">
      <w:lvl w:ilvl="0" w:tplc="CBA05B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F1C09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0ACA4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99562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D074A1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134E1F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90A484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667E8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5A1C4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9" w16cid:durableId="1105464248">
    <w:abstractNumId w:val="12"/>
    <w:lvlOverride w:ilvl="0">
      <w:lvl w:ilvl="0" w:tplc="CBA05B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1C09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CA4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562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74A1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4E1F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A484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7E8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1C4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721516777">
    <w:abstractNumId w:val="6"/>
  </w:num>
  <w:num w:numId="21" w16cid:durableId="1347445427">
    <w:abstractNumId w:val="20"/>
  </w:num>
  <w:num w:numId="22" w16cid:durableId="1567645531">
    <w:abstractNumId w:val="24"/>
  </w:num>
  <w:num w:numId="23" w16cid:durableId="1070077680">
    <w:abstractNumId w:val="5"/>
  </w:num>
  <w:num w:numId="24" w16cid:durableId="1944142341">
    <w:abstractNumId w:val="18"/>
  </w:num>
  <w:num w:numId="25" w16cid:durableId="1309557987">
    <w:abstractNumId w:val="4"/>
  </w:num>
  <w:num w:numId="26" w16cid:durableId="1807166751">
    <w:abstractNumId w:val="19"/>
  </w:num>
  <w:num w:numId="27" w16cid:durableId="914362791">
    <w:abstractNumId w:val="21"/>
  </w:num>
  <w:num w:numId="28" w16cid:durableId="16831266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40"/>
    <w:rsid w:val="00002BD5"/>
    <w:rsid w:val="00031098"/>
    <w:rsid w:val="000753C8"/>
    <w:rsid w:val="000945C5"/>
    <w:rsid w:val="000B595F"/>
    <w:rsid w:val="000E2041"/>
    <w:rsid w:val="000E2A9B"/>
    <w:rsid w:val="000E4E84"/>
    <w:rsid w:val="000F087C"/>
    <w:rsid w:val="00105869"/>
    <w:rsid w:val="001339A0"/>
    <w:rsid w:val="00150D3B"/>
    <w:rsid w:val="001876B0"/>
    <w:rsid w:val="001F0456"/>
    <w:rsid w:val="00206042"/>
    <w:rsid w:val="00206782"/>
    <w:rsid w:val="002071F8"/>
    <w:rsid w:val="00234FA2"/>
    <w:rsid w:val="00245E8D"/>
    <w:rsid w:val="00273E80"/>
    <w:rsid w:val="00292710"/>
    <w:rsid w:val="00292F52"/>
    <w:rsid w:val="002B5F64"/>
    <w:rsid w:val="002F7B27"/>
    <w:rsid w:val="00337874"/>
    <w:rsid w:val="00364935"/>
    <w:rsid w:val="00366BBD"/>
    <w:rsid w:val="003C3925"/>
    <w:rsid w:val="003C447D"/>
    <w:rsid w:val="00411F6E"/>
    <w:rsid w:val="004258DD"/>
    <w:rsid w:val="004460DB"/>
    <w:rsid w:val="00491199"/>
    <w:rsid w:val="004C0AA3"/>
    <w:rsid w:val="004C32A1"/>
    <w:rsid w:val="00546361"/>
    <w:rsid w:val="00547D77"/>
    <w:rsid w:val="0055488F"/>
    <w:rsid w:val="00575741"/>
    <w:rsid w:val="005B45EE"/>
    <w:rsid w:val="005C788C"/>
    <w:rsid w:val="00671B93"/>
    <w:rsid w:val="006B3F95"/>
    <w:rsid w:val="006C06DB"/>
    <w:rsid w:val="006C678E"/>
    <w:rsid w:val="006D1A5F"/>
    <w:rsid w:val="006F0BE4"/>
    <w:rsid w:val="007516F2"/>
    <w:rsid w:val="007C3F25"/>
    <w:rsid w:val="007D1FBE"/>
    <w:rsid w:val="00836319"/>
    <w:rsid w:val="00871A41"/>
    <w:rsid w:val="008908E5"/>
    <w:rsid w:val="008A0322"/>
    <w:rsid w:val="008B3F65"/>
    <w:rsid w:val="0094031E"/>
    <w:rsid w:val="009A41E7"/>
    <w:rsid w:val="009A5679"/>
    <w:rsid w:val="009B5933"/>
    <w:rsid w:val="009B757A"/>
    <w:rsid w:val="009D0B21"/>
    <w:rsid w:val="009D6C22"/>
    <w:rsid w:val="00A0317D"/>
    <w:rsid w:val="00A11840"/>
    <w:rsid w:val="00A228BE"/>
    <w:rsid w:val="00A35D1D"/>
    <w:rsid w:val="00A56C9A"/>
    <w:rsid w:val="00A770BC"/>
    <w:rsid w:val="00AA4538"/>
    <w:rsid w:val="00AA497E"/>
    <w:rsid w:val="00AF2A6C"/>
    <w:rsid w:val="00B22C1D"/>
    <w:rsid w:val="00B23744"/>
    <w:rsid w:val="00B377AF"/>
    <w:rsid w:val="00B60624"/>
    <w:rsid w:val="00B71E4D"/>
    <w:rsid w:val="00BA29CD"/>
    <w:rsid w:val="00BC7F39"/>
    <w:rsid w:val="00C44E18"/>
    <w:rsid w:val="00C546B0"/>
    <w:rsid w:val="00C7158F"/>
    <w:rsid w:val="00C822D4"/>
    <w:rsid w:val="00C97225"/>
    <w:rsid w:val="00CD62F0"/>
    <w:rsid w:val="00D04265"/>
    <w:rsid w:val="00D2618B"/>
    <w:rsid w:val="00D45D66"/>
    <w:rsid w:val="00D52E73"/>
    <w:rsid w:val="00D77A67"/>
    <w:rsid w:val="00DF6C5D"/>
    <w:rsid w:val="00E1390D"/>
    <w:rsid w:val="00E20E5F"/>
    <w:rsid w:val="00E75806"/>
    <w:rsid w:val="00E76C47"/>
    <w:rsid w:val="00E94E7B"/>
    <w:rsid w:val="00EB5292"/>
    <w:rsid w:val="00EE47C9"/>
    <w:rsid w:val="00F50476"/>
    <w:rsid w:val="00F77A5F"/>
    <w:rsid w:val="00F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C921"/>
  <w15:docId w15:val="{18678A76-A29A-4043-A7FC-3D2B6AC5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rial" w:eastAsia="Arial" w:hAnsi="Arial" w:cs="Arial"/>
      <w:outline w:val="0"/>
      <w:color w:val="467886"/>
      <w:u w:val="single" w:color="467886"/>
    </w:rPr>
  </w:style>
  <w:style w:type="paragraph" w:styleId="ListParagraph">
    <w:name w:val="List Paragraph"/>
    <w:pPr>
      <w:ind w:left="720"/>
    </w:pPr>
    <w:rPr>
      <w:rFonts w:ascii="Aptos" w:eastAsia="Aptos" w:hAnsi="Aptos" w:cs="Aptos"/>
      <w:color w:val="000000"/>
      <w:kern w:val="2"/>
      <w:sz w:val="24"/>
      <w:szCs w:val="24"/>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character" w:customStyle="1" w:styleId="Hyperlink1">
    <w:name w:val="Hyperlink.1"/>
    <w:basedOn w:val="Link"/>
    <w:rPr>
      <w:outline w:val="0"/>
      <w:color w:val="467886"/>
      <w:spacing w:val="0"/>
      <w:u w:val="single" w:color="131313"/>
      <w:shd w:val="clear" w:color="auto" w:fill="FFFF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character" w:customStyle="1" w:styleId="Hyperlink2">
    <w:name w:val="Hyperlink.2"/>
    <w:basedOn w:val="Link"/>
    <w:rPr>
      <w:outline w:val="0"/>
      <w:color w:val="151515"/>
      <w:u w:val="single" w:color="151515"/>
    </w:r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character" w:customStyle="1" w:styleId="Hyperlink3">
    <w:name w:val="Hyperlink.3"/>
    <w:basedOn w:val="Link"/>
    <w:rPr>
      <w:outline w:val="0"/>
      <w:color w:val="0017CE"/>
      <w:u w:val="single" w:color="0017CE"/>
      <w:shd w:val="clear" w:color="auto" w:fill="FFFFFF"/>
    </w:rPr>
  </w:style>
  <w:style w:type="paragraph" w:customStyle="1" w:styleId="paragraph">
    <w:name w:val="paragraph"/>
    <w:pPr>
      <w:spacing w:before="100" w:after="100"/>
    </w:pPr>
    <w:rPr>
      <w:rFonts w:cs="Arial Unicode MS"/>
      <w:color w:val="000000"/>
      <w:sz w:val="24"/>
      <w:szCs w:val="24"/>
      <w:u w:color="000000"/>
    </w:r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character" w:customStyle="1" w:styleId="Hyperlink4">
    <w:name w:val="Hyperlink.4"/>
    <w:basedOn w:val="Link"/>
    <w:rPr>
      <w:outline w:val="0"/>
      <w:color w:val="0078D4"/>
      <w:u w:val="single" w:color="0078D4"/>
    </w:rPr>
  </w:style>
  <w:style w:type="numbering" w:customStyle="1" w:styleId="ImportedStyle11">
    <w:name w:val="Imported Style 11"/>
    <w:pPr>
      <w:numPr>
        <w:numId w:val="24"/>
      </w:numPr>
    </w:pPr>
  </w:style>
  <w:style w:type="character" w:customStyle="1" w:styleId="Hyperlink5">
    <w:name w:val="Hyperlink.5"/>
    <w:basedOn w:val="Link"/>
    <w:rPr>
      <w:outline w:val="0"/>
      <w:color w:val="96607D"/>
      <w:u w:val="single" w:color="96607D"/>
    </w:rPr>
  </w:style>
  <w:style w:type="numbering" w:customStyle="1" w:styleId="ImportedStyle12">
    <w:name w:val="Imported Style 12"/>
    <w:pPr>
      <w:numPr>
        <w:numId w:val="2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D0B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871A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B757A"/>
    <w:rPr>
      <w:b/>
      <w:bCs/>
    </w:rPr>
  </w:style>
  <w:style w:type="character" w:customStyle="1" w:styleId="CommentSubjectChar">
    <w:name w:val="Comment Subject Char"/>
    <w:basedOn w:val="CommentTextChar"/>
    <w:link w:val="CommentSubject"/>
    <w:uiPriority w:val="99"/>
    <w:semiHidden/>
    <w:rsid w:val="009B757A"/>
    <w:rPr>
      <w:b/>
      <w:bCs/>
    </w:rPr>
  </w:style>
  <w:style w:type="character" w:styleId="FollowedHyperlink">
    <w:name w:val="FollowedHyperlink"/>
    <w:basedOn w:val="DefaultParagraphFont"/>
    <w:uiPriority w:val="99"/>
    <w:semiHidden/>
    <w:unhideWhenUsed/>
    <w:rsid w:val="00031098"/>
    <w:rPr>
      <w:color w:val="FF00FF" w:themeColor="followedHyperlink"/>
      <w:u w:val="single"/>
    </w:rPr>
  </w:style>
  <w:style w:type="table" w:styleId="TableGrid">
    <w:name w:val="Table Grid"/>
    <w:basedOn w:val="TableNormal"/>
    <w:uiPriority w:val="39"/>
    <w:rsid w:val="009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92710"/>
    <w:pPr>
      <w:tabs>
        <w:tab w:val="center" w:pos="4680"/>
        <w:tab w:val="right" w:pos="9360"/>
      </w:tabs>
    </w:pPr>
  </w:style>
  <w:style w:type="character" w:customStyle="1" w:styleId="HeaderChar">
    <w:name w:val="Header Char"/>
    <w:basedOn w:val="DefaultParagraphFont"/>
    <w:link w:val="Header"/>
    <w:uiPriority w:val="99"/>
    <w:semiHidden/>
    <w:rsid w:val="00292710"/>
    <w:rPr>
      <w:sz w:val="24"/>
      <w:szCs w:val="24"/>
    </w:rPr>
  </w:style>
  <w:style w:type="paragraph" w:styleId="Footer">
    <w:name w:val="footer"/>
    <w:basedOn w:val="Normal"/>
    <w:link w:val="FooterChar"/>
    <w:uiPriority w:val="99"/>
    <w:semiHidden/>
    <w:unhideWhenUsed/>
    <w:rsid w:val="00292710"/>
    <w:pPr>
      <w:tabs>
        <w:tab w:val="center" w:pos="4680"/>
        <w:tab w:val="right" w:pos="9360"/>
      </w:tabs>
    </w:pPr>
  </w:style>
  <w:style w:type="character" w:customStyle="1" w:styleId="FooterChar">
    <w:name w:val="Footer Char"/>
    <w:basedOn w:val="DefaultParagraphFont"/>
    <w:link w:val="Footer"/>
    <w:uiPriority w:val="99"/>
    <w:semiHidden/>
    <w:rsid w:val="00292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itep.org/trump-megabill-expensive-private-school-vouchers/__;!!ES5OBA!mrslwb_DHPT2ky7hVHIUfSM4PvnU9e6NO3oQ-_EzgFChHTpW_SdStJnPquuwHbnuo7BOuSZqfaOd4XY$" TargetMode="External"/><Relationship Id="rId18" Type="http://schemas.openxmlformats.org/officeDocument/2006/relationships/hyperlink" Target="https://www.americanprogress.org/article/the-trump-administrations-cancellation-of-funding-for-environmental-protections-endangers-americans-health-while-draining-their-walle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mc.ncbi.nlm.nih.gov/articles/PMC7502278/" TargetMode="External"/><Relationship Id="rId7" Type="http://schemas.openxmlformats.org/officeDocument/2006/relationships/webSettings" Target="webSettings.xml"/><Relationship Id="rId12" Type="http://schemas.openxmlformats.org/officeDocument/2006/relationships/hyperlink" Target="https://www.theguardian.com/us-news/2025/mar/06/gop-budget-medicare-medicaid-cuts" TargetMode="External"/><Relationship Id="rId17" Type="http://schemas.openxmlformats.org/officeDocument/2006/relationships/hyperlink" Target="https://www.lcv.org/wp-content/uploads/2025/07/2025.06-Reconc_All-Anti-Enviro-Provisions_SENATE.docx.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cv.org/wp-content/uploads/2025/07/2025.06-Reconc_All-Anti-Enviro-Provisions_SENATE.docx.pdf" TargetMode="External"/><Relationship Id="rId20" Type="http://schemas.openxmlformats.org/officeDocument/2006/relationships/hyperlink" Target="https://pmc.ncbi.nlm.nih.gov/articles/PMC75022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nprogress.org/topic/reconciliation/" TargetMode="External"/><Relationship Id="rId24" Type="http://schemas.openxmlformats.org/officeDocument/2006/relationships/hyperlink" Target="https://www.fns.usda.gov/snap/qc/per" TargetMode="External"/><Relationship Id="rId5" Type="http://schemas.openxmlformats.org/officeDocument/2006/relationships/styles" Target="styles.xml"/><Relationship Id="rId15" Type="http://schemas.openxmlformats.org/officeDocument/2006/relationships/hyperlink" Target="https://itep.org/trump-megabill-expensive-private-school-vouchers/" TargetMode="External"/><Relationship Id="rId23" Type="http://schemas.openxmlformats.org/officeDocument/2006/relationships/hyperlink" Target="https://pmc.ncbi.nlm.nih.gov/articles/PMC7502278/" TargetMode="External"/><Relationship Id="rId28" Type="http://schemas.openxmlformats.org/officeDocument/2006/relationships/theme" Target="theme/theme1.xml"/><Relationship Id="rId10" Type="http://schemas.openxmlformats.org/officeDocument/2006/relationships/hyperlink" Target="https://www.cbo.gov/system/files/2025-05/61423-PAYGO.pdf" TargetMode="External"/><Relationship Id="rId19" Type="http://schemas.openxmlformats.org/officeDocument/2006/relationships/hyperlink" Target="https://www.cbpp.org/research/food-assistance/snap-is-linked-with-improved-health-outcomes-and-lower-health-care-co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uscode/text/26/530" TargetMode="External"/><Relationship Id="rId22" Type="http://schemas.openxmlformats.org/officeDocument/2006/relationships/hyperlink" Target="https://www.tandfonline.com/doi/abs/10.1080/21551197.2016.120033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6CFA1D691684B968CE4A9EA22E490" ma:contentTypeVersion="15" ma:contentTypeDescription="Create a new document." ma:contentTypeScope="" ma:versionID="67fba6aed7d9ae045a5e7687dadf0827">
  <xsd:schema xmlns:xsd="http://www.w3.org/2001/XMLSchema" xmlns:xs="http://www.w3.org/2001/XMLSchema" xmlns:p="http://schemas.microsoft.com/office/2006/metadata/properties" xmlns:ns2="5373c1b9-e800-40fa-82f6-87e1508c89ad" xmlns:ns3="564aeefd-1f7e-4fb5-af1e-57e171b9a955" targetNamespace="http://schemas.microsoft.com/office/2006/metadata/properties" ma:root="true" ma:fieldsID="f1cfb974e1f870f128a25f54987b7e05" ns2:_="" ns3:_="">
    <xsd:import namespace="5373c1b9-e800-40fa-82f6-87e1508c89ad"/>
    <xsd:import namespace="564aeefd-1f7e-4fb5-af1e-57e171b9a9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3c1b9-e800-40fa-82f6-87e1508c8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79fd62-9420-4184-8350-dd44aa1a03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aeefd-1f7e-4fb5-af1e-57e171b9a9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c47cbc-fd04-4a76-94df-7aecbf6a60c9}" ma:internalName="TaxCatchAll" ma:showField="CatchAllData" ma:web="564aeefd-1f7e-4fb5-af1e-57e171b9a9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4aeefd-1f7e-4fb5-af1e-57e171b9a955" xsi:nil="true"/>
    <lcf76f155ced4ddcb4097134ff3c332f xmlns="5373c1b9-e800-40fa-82f6-87e1508c8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EF8F97-5622-4B92-963D-1609E13694D5}">
  <ds:schemaRefs>
    <ds:schemaRef ds:uri="http://schemas.microsoft.com/sharepoint/v3/contenttype/forms"/>
  </ds:schemaRefs>
</ds:datastoreItem>
</file>

<file path=customXml/itemProps2.xml><?xml version="1.0" encoding="utf-8"?>
<ds:datastoreItem xmlns:ds="http://schemas.openxmlformats.org/officeDocument/2006/customXml" ds:itemID="{38891F9E-90B7-409E-938E-2A95617A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3c1b9-e800-40fa-82f6-87e1508c89ad"/>
    <ds:schemaRef ds:uri="564aeefd-1f7e-4fb5-af1e-57e171b9a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7DEC7-BFC5-4CFE-9D76-026A7EEA52F8}">
  <ds:schemaRefs>
    <ds:schemaRef ds:uri="http://schemas.microsoft.com/office/2006/metadata/properties"/>
    <ds:schemaRef ds:uri="http://schemas.microsoft.com/office/infopath/2007/PartnerControls"/>
    <ds:schemaRef ds:uri="564aeefd-1f7e-4fb5-af1e-57e171b9a955"/>
    <ds:schemaRef ds:uri="5373c1b9-e800-40fa-82f6-87e1508c89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Cadorette, Legislation</dc:creator>
  <cp:lastModifiedBy>Merrill, Rob</cp:lastModifiedBy>
  <cp:revision>2</cp:revision>
  <dcterms:created xsi:type="dcterms:W3CDTF">2025-07-16T17:39:00Z</dcterms:created>
  <dcterms:modified xsi:type="dcterms:W3CDTF">2025-07-16T17:39:00Z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0x010100EB86CFA1D691684B968CE4A9EA22E490</vt:lpwstr>
  </property>
  <property fmtid="{D5CDD505-2E9C-101B-9397-08002B2CF9AE}" pid="3" name="MediaServiceImageTags">
    <vt:lpwstr/>
  </property>
</Properties>
</file>